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6EB6" w14:textId="77777777" w:rsidR="00F408D5" w:rsidRPr="006545AD" w:rsidRDefault="006E7C70" w:rsidP="00923EF8">
      <w:pPr>
        <w:spacing w:before="60" w:after="60" w:line="360" w:lineRule="exact"/>
        <w:jc w:val="center"/>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Phụ lục II</w:t>
      </w:r>
    </w:p>
    <w:p w14:paraId="28A5429D" w14:textId="77777777" w:rsidR="00F408D5" w:rsidRPr="006545AD" w:rsidRDefault="006E7C70" w:rsidP="00923EF8">
      <w:pPr>
        <w:spacing w:before="60" w:after="60" w:line="360" w:lineRule="exact"/>
        <w:jc w:val="center"/>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NỘI DUNG CHỈ TIÊU THỐNG KÊ TĂNG TRƯỞNG XANH</w:t>
      </w:r>
    </w:p>
    <w:p w14:paraId="66F95CAC" w14:textId="14C7410A" w:rsidR="00F408D5" w:rsidRPr="006545AD" w:rsidRDefault="006E7C70" w:rsidP="009E1776">
      <w:pPr>
        <w:spacing w:line="240" w:lineRule="auto"/>
        <w:jc w:val="center"/>
        <w:rPr>
          <w:rFonts w:ascii="Times New Roman Italic" w:eastAsia="Times New Roman" w:hAnsi="Times New Roman Italic" w:cs="Times New Roman"/>
          <w:i/>
          <w:spacing w:val="-8"/>
          <w:sz w:val="28"/>
          <w:szCs w:val="28"/>
        </w:rPr>
      </w:pPr>
      <w:r w:rsidRPr="006545AD">
        <w:rPr>
          <w:rFonts w:ascii="Times New Roman Italic" w:eastAsia="Times New Roman" w:hAnsi="Times New Roman Italic" w:cs="Times New Roman"/>
          <w:i/>
          <w:spacing w:val="-8"/>
          <w:sz w:val="28"/>
          <w:szCs w:val="28"/>
        </w:rPr>
        <w:t>(</w:t>
      </w:r>
      <w:r w:rsidR="00B44191" w:rsidRPr="006545AD">
        <w:rPr>
          <w:rFonts w:ascii="Times New Roman Italic" w:eastAsia="Times New Roman" w:hAnsi="Times New Roman Italic" w:cs="Times New Roman"/>
          <w:i/>
          <w:spacing w:val="-8"/>
          <w:sz w:val="28"/>
          <w:szCs w:val="28"/>
        </w:rPr>
        <w:t>Ban h</w:t>
      </w:r>
      <w:r w:rsidR="00B44191" w:rsidRPr="006545AD">
        <w:rPr>
          <w:rFonts w:ascii="Times New Roman Italic" w:eastAsia="Times New Roman" w:hAnsi="Times New Roman Italic" w:cs="Times New Roman" w:hint="eastAsia"/>
          <w:i/>
          <w:spacing w:val="-8"/>
          <w:sz w:val="28"/>
          <w:szCs w:val="28"/>
        </w:rPr>
        <w:t>à</w:t>
      </w:r>
      <w:r w:rsidR="00B44191" w:rsidRPr="006545AD">
        <w:rPr>
          <w:rFonts w:ascii="Times New Roman Italic" w:eastAsia="Times New Roman" w:hAnsi="Times New Roman Italic" w:cs="Times New Roman"/>
          <w:i/>
          <w:spacing w:val="-8"/>
          <w:sz w:val="28"/>
          <w:szCs w:val="28"/>
        </w:rPr>
        <w:t>nh k</w:t>
      </w:r>
      <w:r w:rsidR="00B44191" w:rsidRPr="006545AD">
        <w:rPr>
          <w:rFonts w:ascii="Times New Roman Italic" w:eastAsia="Times New Roman" w:hAnsi="Times New Roman Italic" w:cs="Times New Roman" w:hint="eastAsia"/>
          <w:i/>
          <w:spacing w:val="-8"/>
          <w:sz w:val="28"/>
          <w:szCs w:val="28"/>
        </w:rPr>
        <w:t>è</w:t>
      </w:r>
      <w:r w:rsidR="00B44191" w:rsidRPr="006545AD">
        <w:rPr>
          <w:rFonts w:ascii="Times New Roman Italic" w:eastAsia="Times New Roman" w:hAnsi="Times New Roman Italic" w:cs="Times New Roman"/>
          <w:i/>
          <w:spacing w:val="-8"/>
          <w:sz w:val="28"/>
          <w:szCs w:val="28"/>
        </w:rPr>
        <w:t>m theo Th</w:t>
      </w:r>
      <w:r w:rsidR="00B44191" w:rsidRPr="006545AD">
        <w:rPr>
          <w:rFonts w:ascii="Times New Roman Italic" w:eastAsia="Times New Roman" w:hAnsi="Times New Roman Italic" w:cs="Times New Roman" w:hint="eastAsia"/>
          <w:i/>
          <w:spacing w:val="-8"/>
          <w:sz w:val="28"/>
          <w:szCs w:val="28"/>
        </w:rPr>
        <w:t>ô</w:t>
      </w:r>
      <w:r w:rsidR="00B44191" w:rsidRPr="006545AD">
        <w:rPr>
          <w:rFonts w:ascii="Times New Roman Italic" w:eastAsia="Times New Roman" w:hAnsi="Times New Roman Italic" w:cs="Times New Roman"/>
          <w:i/>
          <w:spacing w:val="-8"/>
          <w:sz w:val="28"/>
          <w:szCs w:val="28"/>
        </w:rPr>
        <w:t>ng t</w:t>
      </w:r>
      <w:r w:rsidR="00B44191" w:rsidRPr="006545AD">
        <w:rPr>
          <w:rFonts w:ascii="Times New Roman Italic" w:eastAsia="Times New Roman" w:hAnsi="Times New Roman Italic" w:cs="Times New Roman" w:hint="eastAsia"/>
          <w:i/>
          <w:spacing w:val="-8"/>
          <w:sz w:val="28"/>
          <w:szCs w:val="28"/>
        </w:rPr>
        <w:t>ư</w:t>
      </w:r>
      <w:r w:rsidR="00BE3A58">
        <w:rPr>
          <w:rFonts w:ascii="Times New Roman Italic" w:eastAsia="Times New Roman" w:hAnsi="Times New Roman Italic" w:cs="Times New Roman"/>
          <w:i/>
          <w:spacing w:val="-8"/>
          <w:sz w:val="28"/>
          <w:szCs w:val="28"/>
        </w:rPr>
        <w:t xml:space="preserve"> số 10 </w:t>
      </w:r>
      <w:r w:rsidR="00B44191" w:rsidRPr="006545AD">
        <w:rPr>
          <w:rFonts w:ascii="Times New Roman Italic" w:eastAsia="Times New Roman" w:hAnsi="Times New Roman Italic" w:cs="Times New Roman"/>
          <w:i/>
          <w:spacing w:val="-8"/>
          <w:sz w:val="28"/>
          <w:szCs w:val="28"/>
        </w:rPr>
        <w:t>/</w:t>
      </w:r>
      <w:r w:rsidR="000440B7" w:rsidRPr="006545AD">
        <w:rPr>
          <w:rFonts w:ascii="Times New Roman Italic" w:eastAsia="Times New Roman" w:hAnsi="Times New Roman Italic" w:cs="Times New Roman"/>
          <w:i/>
          <w:spacing w:val="-8"/>
          <w:sz w:val="28"/>
          <w:szCs w:val="28"/>
        </w:rPr>
        <w:t>2023</w:t>
      </w:r>
      <w:r w:rsidR="00B44191" w:rsidRPr="006545AD">
        <w:rPr>
          <w:rFonts w:ascii="Times New Roman Italic" w:eastAsia="Times New Roman" w:hAnsi="Times New Roman Italic" w:cs="Times New Roman"/>
          <w:i/>
          <w:spacing w:val="-8"/>
          <w:sz w:val="28"/>
          <w:szCs w:val="28"/>
        </w:rPr>
        <w:t>/TT-BKH</w:t>
      </w:r>
      <w:r w:rsidR="00B44191" w:rsidRPr="006545AD">
        <w:rPr>
          <w:rFonts w:ascii="Times New Roman Italic" w:eastAsia="Times New Roman" w:hAnsi="Times New Roman Italic" w:cs="Times New Roman" w:hint="eastAsia"/>
          <w:i/>
          <w:spacing w:val="-8"/>
          <w:sz w:val="28"/>
          <w:szCs w:val="28"/>
        </w:rPr>
        <w:t>Đ</w:t>
      </w:r>
      <w:r w:rsidR="00B44191" w:rsidRPr="006545AD">
        <w:rPr>
          <w:rFonts w:ascii="Times New Roman Italic" w:eastAsia="Times New Roman" w:hAnsi="Times New Roman Italic" w:cs="Times New Roman"/>
          <w:i/>
          <w:spacing w:val="-8"/>
          <w:sz w:val="28"/>
          <w:szCs w:val="28"/>
        </w:rPr>
        <w:t>T ng</w:t>
      </w:r>
      <w:r w:rsidR="00B44191" w:rsidRPr="006545AD">
        <w:rPr>
          <w:rFonts w:ascii="Times New Roman Italic" w:eastAsia="Times New Roman" w:hAnsi="Times New Roman Italic" w:cs="Times New Roman" w:hint="eastAsia"/>
          <w:i/>
          <w:spacing w:val="-8"/>
          <w:sz w:val="28"/>
          <w:szCs w:val="28"/>
        </w:rPr>
        <w:t>à</w:t>
      </w:r>
      <w:r w:rsidR="00BE3A58">
        <w:rPr>
          <w:rFonts w:ascii="Times New Roman Italic" w:eastAsia="Times New Roman" w:hAnsi="Times New Roman Italic" w:cs="Times New Roman"/>
          <w:i/>
          <w:spacing w:val="-8"/>
          <w:sz w:val="28"/>
          <w:szCs w:val="28"/>
        </w:rPr>
        <w:t xml:space="preserve">y  01 </w:t>
      </w:r>
      <w:r w:rsidR="00B44191" w:rsidRPr="006545AD">
        <w:rPr>
          <w:rFonts w:ascii="Times New Roman Italic" w:eastAsia="Times New Roman" w:hAnsi="Times New Roman Italic" w:cs="Times New Roman"/>
          <w:i/>
          <w:spacing w:val="-8"/>
          <w:sz w:val="28"/>
          <w:szCs w:val="28"/>
        </w:rPr>
        <w:t>th</w:t>
      </w:r>
      <w:r w:rsidR="00B44191" w:rsidRPr="006545AD">
        <w:rPr>
          <w:rFonts w:ascii="Times New Roman Italic" w:eastAsia="Times New Roman" w:hAnsi="Times New Roman Italic" w:cs="Times New Roman" w:hint="eastAsia"/>
          <w:i/>
          <w:spacing w:val="-8"/>
          <w:sz w:val="28"/>
          <w:szCs w:val="28"/>
        </w:rPr>
        <w:t>á</w:t>
      </w:r>
      <w:r w:rsidR="00BE3A58">
        <w:rPr>
          <w:rFonts w:ascii="Times New Roman Italic" w:eastAsia="Times New Roman" w:hAnsi="Times New Roman Italic" w:cs="Times New Roman"/>
          <w:i/>
          <w:spacing w:val="-8"/>
          <w:sz w:val="28"/>
          <w:szCs w:val="28"/>
        </w:rPr>
        <w:t xml:space="preserve">ng 11 </w:t>
      </w:r>
      <w:r w:rsidR="00B44191" w:rsidRPr="006545AD">
        <w:rPr>
          <w:rFonts w:ascii="Times New Roman Italic" w:eastAsia="Times New Roman" w:hAnsi="Times New Roman Italic" w:cs="Times New Roman"/>
          <w:i/>
          <w:spacing w:val="-8"/>
          <w:sz w:val="28"/>
          <w:szCs w:val="28"/>
        </w:rPr>
        <w:t>n</w:t>
      </w:r>
      <w:r w:rsidR="00B44191" w:rsidRPr="006545AD">
        <w:rPr>
          <w:rFonts w:ascii="Times New Roman Italic" w:eastAsia="Times New Roman" w:hAnsi="Times New Roman Italic" w:cs="Times New Roman" w:hint="eastAsia"/>
          <w:i/>
          <w:spacing w:val="-8"/>
          <w:sz w:val="28"/>
          <w:szCs w:val="28"/>
        </w:rPr>
        <w:t>ă</w:t>
      </w:r>
      <w:r w:rsidR="00B44191" w:rsidRPr="006545AD">
        <w:rPr>
          <w:rFonts w:ascii="Times New Roman Italic" w:eastAsia="Times New Roman" w:hAnsi="Times New Roman Italic" w:cs="Times New Roman"/>
          <w:i/>
          <w:spacing w:val="-8"/>
          <w:sz w:val="28"/>
          <w:szCs w:val="28"/>
        </w:rPr>
        <w:t xml:space="preserve">m </w:t>
      </w:r>
      <w:r w:rsidR="000440B7" w:rsidRPr="006545AD">
        <w:rPr>
          <w:rFonts w:ascii="Times New Roman Italic" w:eastAsia="Times New Roman" w:hAnsi="Times New Roman Italic" w:cs="Times New Roman"/>
          <w:i/>
          <w:spacing w:val="-8"/>
          <w:sz w:val="28"/>
          <w:szCs w:val="28"/>
        </w:rPr>
        <w:t>2023</w:t>
      </w:r>
    </w:p>
    <w:p w14:paraId="076511F2" w14:textId="335D53E0" w:rsidR="00F408D5" w:rsidRPr="006545AD" w:rsidRDefault="006E7C70" w:rsidP="009E1776">
      <w:pPr>
        <w:spacing w:line="240" w:lineRule="auto"/>
        <w:jc w:val="center"/>
        <w:rPr>
          <w:rFonts w:ascii="Times New Roman Italic" w:eastAsia="Times New Roman" w:hAnsi="Times New Roman Italic" w:cs="Times New Roman"/>
          <w:i/>
          <w:spacing w:val="-8"/>
          <w:sz w:val="28"/>
          <w:szCs w:val="28"/>
        </w:rPr>
      </w:pPr>
      <w:r w:rsidRPr="006545AD">
        <w:rPr>
          <w:rFonts w:ascii="Times New Roman Italic" w:eastAsia="Times New Roman" w:hAnsi="Times New Roman Italic" w:cs="Times New Roman"/>
          <w:i/>
          <w:spacing w:val="-8"/>
          <w:sz w:val="28"/>
          <w:szCs w:val="28"/>
        </w:rPr>
        <w:t>của Bộ tr</w:t>
      </w:r>
      <w:r w:rsidRPr="006545AD">
        <w:rPr>
          <w:rFonts w:ascii="Times New Roman Italic" w:eastAsia="Times New Roman" w:hAnsi="Times New Roman Italic" w:cs="Times New Roman" w:hint="eastAsia"/>
          <w:i/>
          <w:spacing w:val="-8"/>
          <w:sz w:val="28"/>
          <w:szCs w:val="28"/>
        </w:rPr>
        <w:t>ư</w:t>
      </w:r>
      <w:r w:rsidRPr="006545AD">
        <w:rPr>
          <w:rFonts w:ascii="Times New Roman Italic" w:eastAsia="Times New Roman" w:hAnsi="Times New Roman Italic" w:cs="Times New Roman"/>
          <w:i/>
          <w:spacing w:val="-8"/>
          <w:sz w:val="28"/>
          <w:szCs w:val="28"/>
        </w:rPr>
        <w:t>ởng Bộ Kế hoạch v</w:t>
      </w:r>
      <w:r w:rsidRPr="006545AD">
        <w:rPr>
          <w:rFonts w:ascii="Times New Roman Italic" w:eastAsia="Times New Roman" w:hAnsi="Times New Roman Italic" w:cs="Times New Roman" w:hint="eastAsia"/>
          <w:i/>
          <w:spacing w:val="-8"/>
          <w:sz w:val="28"/>
          <w:szCs w:val="28"/>
        </w:rPr>
        <w:t>à</w:t>
      </w:r>
      <w:r w:rsidRPr="006545AD">
        <w:rPr>
          <w:rFonts w:ascii="Times New Roman Italic" w:eastAsia="Times New Roman" w:hAnsi="Times New Roman Italic" w:cs="Times New Roman"/>
          <w:i/>
          <w:spacing w:val="-8"/>
          <w:sz w:val="28"/>
          <w:szCs w:val="28"/>
        </w:rPr>
        <w:t xml:space="preserve"> </w:t>
      </w:r>
      <w:r w:rsidRPr="006545AD">
        <w:rPr>
          <w:rFonts w:ascii="Times New Roman Italic" w:eastAsia="Times New Roman" w:hAnsi="Times New Roman Italic" w:cs="Times New Roman" w:hint="eastAsia"/>
          <w:i/>
          <w:spacing w:val="-8"/>
          <w:sz w:val="28"/>
          <w:szCs w:val="28"/>
        </w:rPr>
        <w:t>Đ</w:t>
      </w:r>
      <w:r w:rsidRPr="006545AD">
        <w:rPr>
          <w:rFonts w:ascii="Times New Roman Italic" w:eastAsia="Times New Roman" w:hAnsi="Times New Roman Italic" w:cs="Times New Roman"/>
          <w:i/>
          <w:spacing w:val="-8"/>
          <w:sz w:val="28"/>
          <w:szCs w:val="28"/>
        </w:rPr>
        <w:t>ầu t</w:t>
      </w:r>
      <w:r w:rsidRPr="006545AD">
        <w:rPr>
          <w:rFonts w:ascii="Times New Roman Italic" w:eastAsia="Times New Roman" w:hAnsi="Times New Roman Italic" w:cs="Times New Roman" w:hint="eastAsia"/>
          <w:i/>
          <w:spacing w:val="-8"/>
          <w:sz w:val="28"/>
          <w:szCs w:val="28"/>
        </w:rPr>
        <w:t>ư</w:t>
      </w:r>
      <w:r w:rsidR="00F776D9" w:rsidRPr="006545AD">
        <w:rPr>
          <w:rFonts w:ascii="Times New Roman Italic" w:eastAsia="Times New Roman" w:hAnsi="Times New Roman Italic" w:cs="Times New Roman"/>
          <w:i/>
          <w:spacing w:val="-8"/>
          <w:sz w:val="28"/>
          <w:szCs w:val="28"/>
        </w:rPr>
        <w:t xml:space="preserve"> </w:t>
      </w:r>
      <w:r w:rsidR="00F776D9" w:rsidRPr="006545AD">
        <w:rPr>
          <w:rFonts w:ascii="Times New Roman Italic" w:eastAsia="Times New Roman" w:hAnsi="Times New Roman Italic" w:cs="Times New Roman"/>
          <w:i/>
          <w:spacing w:val="-8"/>
          <w:sz w:val="26"/>
          <w:szCs w:val="26"/>
        </w:rPr>
        <w:t xml:space="preserve">quy </w:t>
      </w:r>
      <w:r w:rsidR="00F776D9" w:rsidRPr="006545AD">
        <w:rPr>
          <w:rFonts w:ascii="Times New Roman Italic" w:eastAsia="Times New Roman" w:hAnsi="Times New Roman Italic" w:cs="Times New Roman" w:hint="eastAsia"/>
          <w:i/>
          <w:spacing w:val="-8"/>
          <w:sz w:val="26"/>
          <w:szCs w:val="26"/>
        </w:rPr>
        <w:t>đ</w:t>
      </w:r>
      <w:r w:rsidR="00F776D9" w:rsidRPr="006545AD">
        <w:rPr>
          <w:rFonts w:ascii="Times New Roman Italic" w:eastAsia="Times New Roman" w:hAnsi="Times New Roman Italic" w:cs="Times New Roman"/>
          <w:i/>
          <w:spacing w:val="-8"/>
          <w:sz w:val="26"/>
          <w:szCs w:val="26"/>
        </w:rPr>
        <w:t>ịnh Bộ chỉ ti</w:t>
      </w:r>
      <w:r w:rsidR="00F776D9" w:rsidRPr="006545AD">
        <w:rPr>
          <w:rFonts w:ascii="Times New Roman Italic" w:eastAsia="Times New Roman" w:hAnsi="Times New Roman Italic" w:cs="Times New Roman" w:hint="eastAsia"/>
          <w:i/>
          <w:spacing w:val="-8"/>
          <w:sz w:val="26"/>
          <w:szCs w:val="26"/>
        </w:rPr>
        <w:t>ê</w:t>
      </w:r>
      <w:r w:rsidR="00F776D9" w:rsidRPr="006545AD">
        <w:rPr>
          <w:rFonts w:ascii="Times New Roman Italic" w:eastAsia="Times New Roman" w:hAnsi="Times New Roman Italic" w:cs="Times New Roman"/>
          <w:i/>
          <w:spacing w:val="-8"/>
          <w:sz w:val="26"/>
          <w:szCs w:val="26"/>
        </w:rPr>
        <w:t>u thống k</w:t>
      </w:r>
      <w:r w:rsidR="00F776D9" w:rsidRPr="006545AD">
        <w:rPr>
          <w:rFonts w:ascii="Times New Roman Italic" w:eastAsia="Times New Roman" w:hAnsi="Times New Roman Italic" w:cs="Times New Roman" w:hint="eastAsia"/>
          <w:i/>
          <w:spacing w:val="-8"/>
          <w:sz w:val="26"/>
          <w:szCs w:val="26"/>
        </w:rPr>
        <w:t>ê</w:t>
      </w:r>
      <w:r w:rsidR="00F776D9" w:rsidRPr="006545AD">
        <w:rPr>
          <w:rFonts w:ascii="Times New Roman Italic" w:eastAsia="Times New Roman" w:hAnsi="Times New Roman Italic" w:cs="Times New Roman"/>
          <w:i/>
          <w:spacing w:val="-8"/>
          <w:sz w:val="26"/>
          <w:szCs w:val="26"/>
        </w:rPr>
        <w:t xml:space="preserve"> t</w:t>
      </w:r>
      <w:r w:rsidR="00F776D9" w:rsidRPr="006545AD">
        <w:rPr>
          <w:rFonts w:ascii="Times New Roman Italic" w:eastAsia="Times New Roman" w:hAnsi="Times New Roman Italic" w:cs="Times New Roman" w:hint="eastAsia"/>
          <w:i/>
          <w:spacing w:val="-8"/>
          <w:sz w:val="26"/>
          <w:szCs w:val="26"/>
        </w:rPr>
        <w:t>ă</w:t>
      </w:r>
      <w:r w:rsidR="00F776D9" w:rsidRPr="006545AD">
        <w:rPr>
          <w:rFonts w:ascii="Times New Roman Italic" w:eastAsia="Times New Roman" w:hAnsi="Times New Roman Italic" w:cs="Times New Roman"/>
          <w:i/>
          <w:spacing w:val="-8"/>
          <w:sz w:val="26"/>
          <w:szCs w:val="26"/>
        </w:rPr>
        <w:t>ng tr</w:t>
      </w:r>
      <w:r w:rsidR="00F776D9" w:rsidRPr="006545AD">
        <w:rPr>
          <w:rFonts w:ascii="Times New Roman Italic" w:eastAsia="Times New Roman" w:hAnsi="Times New Roman Italic" w:cs="Times New Roman" w:hint="eastAsia"/>
          <w:i/>
          <w:spacing w:val="-8"/>
          <w:sz w:val="26"/>
          <w:szCs w:val="26"/>
        </w:rPr>
        <w:t>ư</w:t>
      </w:r>
      <w:r w:rsidR="00F776D9" w:rsidRPr="006545AD">
        <w:rPr>
          <w:rFonts w:ascii="Times New Roman Italic" w:eastAsia="Times New Roman" w:hAnsi="Times New Roman Italic" w:cs="Times New Roman"/>
          <w:i/>
          <w:spacing w:val="-8"/>
          <w:sz w:val="26"/>
          <w:szCs w:val="26"/>
        </w:rPr>
        <w:t>ởng xanh</w:t>
      </w:r>
      <w:r w:rsidRPr="006545AD">
        <w:rPr>
          <w:rFonts w:ascii="Times New Roman Italic" w:eastAsia="Times New Roman" w:hAnsi="Times New Roman Italic" w:cs="Times New Roman"/>
          <w:i/>
          <w:spacing w:val="-8"/>
          <w:sz w:val="28"/>
          <w:szCs w:val="28"/>
        </w:rPr>
        <w:t>)</w:t>
      </w:r>
    </w:p>
    <w:p w14:paraId="4B6E342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 </w:t>
      </w:r>
    </w:p>
    <w:p w14:paraId="5DD286D7"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Mục tiêu 1: Giảm cường độ phát thải khí nhà kính trên GDP</w:t>
      </w:r>
    </w:p>
    <w:p w14:paraId="5DD28391" w14:textId="77777777" w:rsidR="0040586B" w:rsidRPr="006545AD" w:rsidRDefault="0040586B" w:rsidP="0040586B">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1.1. Cường độ phát thải khí nhà kính</w:t>
      </w:r>
    </w:p>
    <w:p w14:paraId="700E467D" w14:textId="77777777" w:rsidR="0040586B" w:rsidRPr="006545AD" w:rsidRDefault="0040586B" w:rsidP="0040586B">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 Khái niệm, phương pháp tính</w:t>
      </w:r>
      <w:bookmarkStart w:id="0" w:name="_GoBack"/>
      <w:bookmarkEnd w:id="0"/>
    </w:p>
    <w:p w14:paraId="6EB30A11" w14:textId="77777777" w:rsidR="0040586B" w:rsidRPr="006545AD" w:rsidRDefault="0040586B" w:rsidP="0040586B">
      <w:pPr>
        <w:spacing w:before="120" w:after="60" w:line="288" w:lineRule="auto"/>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Cường độ phát thải khí nhà kính là chỉ tiêu biểu thị quan hệ so sánh giữa tổng lượng khí nhà kính phát thải trong kỳ so với GDP. Chỉ tiêu này phản ánh để tạo ra một đơn vị GDP thì nền kinh tế thải ra môi trường một lượng khí nhà kính là bao nhiêu.</w:t>
      </w:r>
    </w:p>
    <w:p w14:paraId="6596144D" w14:textId="77777777" w:rsidR="0040586B" w:rsidRPr="006545AD" w:rsidRDefault="0040586B" w:rsidP="0040586B">
      <w:pPr>
        <w:spacing w:before="120" w:after="60" w:line="288" w:lineRule="auto"/>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pacing w:val="-4"/>
          <w:sz w:val="28"/>
          <w:szCs w:val="28"/>
        </w:rPr>
        <w:t xml:space="preserve">Khí nhà kính là các loại khí trong khí quyển gây hiệu ứng nhà kính. Theo Nghị định thư Kyoto và theo Luật bảo vệ môi trường, các khí nhà kính chính là </w:t>
      </w:r>
      <w:r w:rsidRPr="006545AD">
        <w:rPr>
          <w:rFonts w:ascii="Times New Roman" w:eastAsia="Times New Roman" w:hAnsi="Times New Roman" w:cs="Times New Roman"/>
          <w:i/>
          <w:spacing w:val="-4"/>
          <w:sz w:val="28"/>
          <w:szCs w:val="28"/>
        </w:rPr>
        <w:t>carbon dioxide</w:t>
      </w:r>
      <w:r w:rsidRPr="006545AD">
        <w:rPr>
          <w:rFonts w:ascii="Times New Roman" w:eastAsia="Times New Roman" w:hAnsi="Times New Roman" w:cs="Times New Roman"/>
          <w:spacing w:val="-4"/>
          <w:sz w:val="28"/>
          <w:szCs w:val="28"/>
        </w:rPr>
        <w:t xml:space="preserve"> (CO</w:t>
      </w:r>
      <w:r w:rsidRPr="006545AD">
        <w:rPr>
          <w:rFonts w:ascii="Times New Roman" w:eastAsia="Times New Roman" w:hAnsi="Times New Roman" w:cs="Times New Roman"/>
          <w:spacing w:val="-4"/>
          <w:sz w:val="28"/>
          <w:szCs w:val="28"/>
          <w:vertAlign w:val="subscript"/>
        </w:rPr>
        <w:t>2</w:t>
      </w:r>
      <w:r w:rsidRPr="006545AD">
        <w:rPr>
          <w:rFonts w:ascii="Times New Roman" w:eastAsia="Times New Roman" w:hAnsi="Times New Roman" w:cs="Times New Roman"/>
          <w:spacing w:val="-4"/>
          <w:sz w:val="28"/>
          <w:szCs w:val="28"/>
        </w:rPr>
        <w:t xml:space="preserve">), </w:t>
      </w:r>
      <w:r w:rsidRPr="006545AD">
        <w:rPr>
          <w:rFonts w:ascii="Times New Roman" w:eastAsia="Times New Roman" w:hAnsi="Times New Roman" w:cs="Times New Roman"/>
          <w:i/>
          <w:spacing w:val="-4"/>
          <w:sz w:val="28"/>
          <w:szCs w:val="28"/>
        </w:rPr>
        <w:t>methane</w:t>
      </w:r>
      <w:r w:rsidRPr="006545AD">
        <w:rPr>
          <w:rFonts w:ascii="Times New Roman" w:eastAsia="Times New Roman" w:hAnsi="Times New Roman" w:cs="Times New Roman"/>
          <w:spacing w:val="-4"/>
          <w:sz w:val="28"/>
          <w:szCs w:val="28"/>
        </w:rPr>
        <w:t xml:space="preserve"> (CH</w:t>
      </w:r>
      <w:r w:rsidRPr="006545AD">
        <w:rPr>
          <w:rFonts w:ascii="Times New Roman" w:eastAsia="Times New Roman" w:hAnsi="Times New Roman" w:cs="Times New Roman"/>
          <w:spacing w:val="-4"/>
          <w:sz w:val="28"/>
          <w:szCs w:val="28"/>
          <w:vertAlign w:val="subscript"/>
        </w:rPr>
        <w:t>4</w:t>
      </w:r>
      <w:r w:rsidRPr="006545AD">
        <w:rPr>
          <w:rFonts w:ascii="Times New Roman" w:eastAsia="Times New Roman" w:hAnsi="Times New Roman" w:cs="Times New Roman"/>
          <w:spacing w:val="-4"/>
          <w:sz w:val="28"/>
          <w:szCs w:val="28"/>
        </w:rPr>
        <w:t xml:space="preserve">) và </w:t>
      </w:r>
      <w:r w:rsidRPr="006545AD">
        <w:rPr>
          <w:rFonts w:ascii="Times New Roman" w:eastAsia="Times New Roman" w:hAnsi="Times New Roman" w:cs="Times New Roman"/>
          <w:i/>
          <w:spacing w:val="-4"/>
          <w:sz w:val="28"/>
          <w:szCs w:val="28"/>
        </w:rPr>
        <w:t>nitrous oxide</w:t>
      </w:r>
      <w:r w:rsidRPr="006545AD">
        <w:rPr>
          <w:rFonts w:ascii="Times New Roman" w:eastAsia="Times New Roman" w:hAnsi="Times New Roman" w:cs="Times New Roman"/>
          <w:spacing w:val="-4"/>
          <w:sz w:val="28"/>
          <w:szCs w:val="28"/>
        </w:rPr>
        <w:t xml:space="preserve"> (N</w:t>
      </w:r>
      <w:r w:rsidRPr="006545AD">
        <w:rPr>
          <w:rFonts w:ascii="Times New Roman" w:eastAsia="Times New Roman" w:hAnsi="Times New Roman" w:cs="Times New Roman"/>
          <w:spacing w:val="-4"/>
          <w:sz w:val="28"/>
          <w:szCs w:val="28"/>
          <w:vertAlign w:val="subscript"/>
        </w:rPr>
        <w:t>2</w:t>
      </w:r>
      <w:r w:rsidRPr="006545AD">
        <w:rPr>
          <w:rFonts w:ascii="Times New Roman" w:eastAsia="Times New Roman" w:hAnsi="Times New Roman" w:cs="Times New Roman"/>
          <w:spacing w:val="-4"/>
          <w:sz w:val="28"/>
          <w:szCs w:val="28"/>
        </w:rPr>
        <w:t xml:space="preserve">O). Các khí có hàm lượng thấp nhưng có tiềm năng cao gây hiệu ứng nhà kính là </w:t>
      </w:r>
      <w:r w:rsidRPr="006545AD">
        <w:rPr>
          <w:rFonts w:ascii="Times New Roman" w:eastAsia="Times New Roman" w:hAnsi="Times New Roman" w:cs="Times New Roman"/>
          <w:i/>
          <w:spacing w:val="-4"/>
          <w:sz w:val="28"/>
          <w:szCs w:val="28"/>
        </w:rPr>
        <w:t>hydrofluorocarbons</w:t>
      </w:r>
      <w:r w:rsidRPr="006545AD">
        <w:rPr>
          <w:rFonts w:ascii="Times New Roman" w:eastAsia="Times New Roman" w:hAnsi="Times New Roman" w:cs="Times New Roman"/>
          <w:spacing w:val="-4"/>
          <w:sz w:val="28"/>
          <w:szCs w:val="28"/>
        </w:rPr>
        <w:t xml:space="preserve"> (HFCs), </w:t>
      </w:r>
      <w:r w:rsidRPr="006545AD">
        <w:rPr>
          <w:rFonts w:ascii="Times New Roman" w:eastAsia="Times New Roman" w:hAnsi="Times New Roman" w:cs="Times New Roman"/>
          <w:i/>
          <w:spacing w:val="-4"/>
          <w:sz w:val="28"/>
          <w:szCs w:val="28"/>
        </w:rPr>
        <w:t>perfluorocarbons</w:t>
      </w:r>
      <w:r w:rsidRPr="006545AD">
        <w:rPr>
          <w:rFonts w:ascii="Times New Roman" w:eastAsia="Times New Roman" w:hAnsi="Times New Roman" w:cs="Times New Roman"/>
          <w:spacing w:val="-4"/>
          <w:sz w:val="28"/>
          <w:szCs w:val="28"/>
        </w:rPr>
        <w:t xml:space="preserve"> (PFCs), </w:t>
      </w:r>
      <w:r w:rsidRPr="006545AD">
        <w:rPr>
          <w:rFonts w:ascii="Times New Roman" w:eastAsia="Times New Roman" w:hAnsi="Times New Roman" w:cs="Times New Roman"/>
          <w:i/>
          <w:spacing w:val="-4"/>
          <w:sz w:val="28"/>
          <w:szCs w:val="28"/>
        </w:rPr>
        <w:t>sulphur hexafluoride</w:t>
      </w:r>
      <w:r w:rsidRPr="006545AD">
        <w:rPr>
          <w:rFonts w:ascii="Times New Roman" w:eastAsia="Times New Roman" w:hAnsi="Times New Roman" w:cs="Times New Roman"/>
          <w:spacing w:val="-4"/>
          <w:sz w:val="28"/>
          <w:szCs w:val="28"/>
        </w:rPr>
        <w:t xml:space="preserve"> (SF</w:t>
      </w:r>
      <w:r w:rsidRPr="006545AD">
        <w:rPr>
          <w:rFonts w:ascii="Times New Roman" w:eastAsia="Times New Roman" w:hAnsi="Times New Roman" w:cs="Times New Roman"/>
          <w:spacing w:val="-4"/>
          <w:sz w:val="28"/>
          <w:szCs w:val="28"/>
          <w:vertAlign w:val="subscript"/>
        </w:rPr>
        <w:t>6</w:t>
      </w:r>
      <w:r w:rsidRPr="006545AD">
        <w:rPr>
          <w:rFonts w:ascii="Times New Roman" w:eastAsia="Times New Roman" w:hAnsi="Times New Roman" w:cs="Times New Roman"/>
          <w:spacing w:val="-4"/>
          <w:sz w:val="28"/>
          <w:szCs w:val="28"/>
        </w:rPr>
        <w:t xml:space="preserve">) và </w:t>
      </w:r>
      <w:r w:rsidRPr="006545AD">
        <w:rPr>
          <w:rFonts w:ascii="Times New Roman" w:eastAsia="Times New Roman" w:hAnsi="Times New Roman" w:cs="Times New Roman"/>
          <w:i/>
          <w:spacing w:val="-4"/>
          <w:sz w:val="28"/>
          <w:szCs w:val="28"/>
        </w:rPr>
        <w:t>nitrogen trifluoride</w:t>
      </w:r>
      <w:r w:rsidRPr="006545AD">
        <w:rPr>
          <w:rFonts w:ascii="Times New Roman" w:eastAsia="Times New Roman" w:hAnsi="Times New Roman" w:cs="Times New Roman"/>
          <w:spacing w:val="-4"/>
          <w:sz w:val="28"/>
          <w:szCs w:val="28"/>
        </w:rPr>
        <w:t xml:space="preserve"> (NF</w:t>
      </w:r>
      <w:r w:rsidRPr="006545AD">
        <w:rPr>
          <w:rFonts w:ascii="Times New Roman" w:eastAsia="Times New Roman" w:hAnsi="Times New Roman" w:cs="Times New Roman"/>
          <w:spacing w:val="-4"/>
          <w:sz w:val="28"/>
          <w:szCs w:val="28"/>
          <w:vertAlign w:val="subscript"/>
        </w:rPr>
        <w:t>3</w:t>
      </w:r>
      <w:r w:rsidRPr="006545AD">
        <w:rPr>
          <w:rFonts w:ascii="Times New Roman" w:eastAsia="Times New Roman" w:hAnsi="Times New Roman" w:cs="Times New Roman"/>
          <w:spacing w:val="-4"/>
          <w:sz w:val="28"/>
          <w:szCs w:val="28"/>
        </w:rPr>
        <w:t>).</w:t>
      </w:r>
    </w:p>
    <w:p w14:paraId="4995BDFD" w14:textId="77777777" w:rsidR="0040586B" w:rsidRPr="006545AD" w:rsidRDefault="0040586B" w:rsidP="0040586B">
      <w:pPr>
        <w:spacing w:before="120" w:after="60" w:line="288" w:lineRule="auto"/>
        <w:jc w:val="both"/>
        <w:rPr>
          <w:rFonts w:ascii="Times New Roman" w:eastAsia="Times New Roman" w:hAnsi="Times New Roman" w:cs="Times New Roman"/>
          <w:spacing w:val="-6"/>
          <w:sz w:val="28"/>
          <w:szCs w:val="28"/>
        </w:rPr>
      </w:pP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pacing w:val="-6"/>
          <w:sz w:val="28"/>
          <w:szCs w:val="28"/>
        </w:rPr>
        <w:t>Hiệu ứng nhà kính là hiện tượng năng lượng bức xạ của Mặt trời được hấp thụ trong khí quyển, chuyển hóa thành nhiệt lượng gây hiện tượng nóng lên toàn cầu</w:t>
      </w:r>
      <w:r w:rsidRPr="006545AD">
        <w:rPr>
          <w:rFonts w:ascii="Times New Roman" w:eastAsia="Times New Roman" w:hAnsi="Times New Roman" w:cs="Times New Roman"/>
          <w:spacing w:val="-6"/>
          <w:sz w:val="28"/>
          <w:szCs w:val="28"/>
          <w:vertAlign w:val="superscript"/>
        </w:rPr>
        <w:footnoteReference w:id="1"/>
      </w:r>
      <w:r w:rsidRPr="006545AD">
        <w:rPr>
          <w:rFonts w:ascii="Times New Roman" w:eastAsia="Times New Roman" w:hAnsi="Times New Roman" w:cs="Times New Roman"/>
          <w:spacing w:val="-6"/>
          <w:sz w:val="28"/>
          <w:szCs w:val="28"/>
        </w:rPr>
        <w:t>.</w:t>
      </w:r>
    </w:p>
    <w:p w14:paraId="10A681F5" w14:textId="77777777" w:rsidR="0040586B" w:rsidRPr="006545AD" w:rsidRDefault="0040586B" w:rsidP="0040586B">
      <w:pPr>
        <w:spacing w:before="120" w:after="60" w:line="288" w:lineRule="auto"/>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Lượng phát thải khí nhà kính được tính quy đổi ra lượng phát thải khí CO</w:t>
      </w:r>
      <w:r w:rsidRPr="006545AD">
        <w:rPr>
          <w:rFonts w:ascii="Times New Roman" w:eastAsia="Times New Roman" w:hAnsi="Times New Roman" w:cs="Times New Roman"/>
          <w:sz w:val="28"/>
          <w:szCs w:val="28"/>
          <w:vertAlign w:val="subscript"/>
        </w:rPr>
        <w:t>2</w:t>
      </w:r>
      <w:r w:rsidRPr="006545AD">
        <w:rPr>
          <w:rFonts w:ascii="Times New Roman" w:eastAsia="Times New Roman" w:hAnsi="Times New Roman" w:cs="Times New Roman"/>
          <w:sz w:val="28"/>
          <w:szCs w:val="28"/>
        </w:rPr>
        <w:t xml:space="preserve"> tương đương (</w:t>
      </w:r>
      <w:r w:rsidRPr="006545AD">
        <w:rPr>
          <w:rFonts w:ascii="Times New Roman" w:eastAsia="Times New Roman" w:hAnsi="Times New Roman" w:cs="Times New Roman"/>
          <w:i/>
          <w:sz w:val="28"/>
          <w:szCs w:val="28"/>
        </w:rPr>
        <w:t>tính theo đơn vị tấn CO</w:t>
      </w:r>
      <w:r w:rsidRPr="006545AD">
        <w:rPr>
          <w:rFonts w:ascii="Times New Roman" w:eastAsia="Times New Roman" w:hAnsi="Times New Roman" w:cs="Times New Roman"/>
          <w:i/>
          <w:sz w:val="28"/>
          <w:szCs w:val="28"/>
          <w:vertAlign w:val="subscript"/>
        </w:rPr>
        <w:t>2</w:t>
      </w:r>
      <w:r w:rsidRPr="006545AD">
        <w:rPr>
          <w:rFonts w:ascii="Times New Roman" w:eastAsia="Times New Roman" w:hAnsi="Times New Roman" w:cs="Times New Roman"/>
          <w:i/>
          <w:sz w:val="28"/>
          <w:szCs w:val="28"/>
        </w:rPr>
        <w:t xml:space="preserve"> tương đương</w:t>
      </w:r>
      <w:r w:rsidRPr="006545AD">
        <w:rPr>
          <w:rFonts w:ascii="Times New Roman" w:eastAsia="Times New Roman" w:hAnsi="Times New Roman" w:cs="Times New Roman"/>
          <w:sz w:val="28"/>
          <w:szCs w:val="28"/>
        </w:rPr>
        <w:t>). Tấn CO</w:t>
      </w:r>
      <w:r w:rsidRPr="006545AD">
        <w:rPr>
          <w:rFonts w:ascii="Times New Roman" w:eastAsia="Times New Roman" w:hAnsi="Times New Roman" w:cs="Times New Roman"/>
          <w:sz w:val="28"/>
          <w:szCs w:val="28"/>
          <w:vertAlign w:val="subscript"/>
        </w:rPr>
        <w:t>2</w:t>
      </w:r>
      <w:r w:rsidRPr="006545AD">
        <w:rPr>
          <w:rFonts w:ascii="Times New Roman" w:eastAsia="Times New Roman" w:hAnsi="Times New Roman" w:cs="Times New Roman"/>
          <w:sz w:val="28"/>
          <w:szCs w:val="28"/>
        </w:rPr>
        <w:t xml:space="preserve"> tương đương là khối lượng của các khí nhà kính được quy đổi thành tấn CO</w:t>
      </w:r>
      <w:r w:rsidRPr="006545AD">
        <w:rPr>
          <w:rFonts w:ascii="Times New Roman" w:eastAsia="Times New Roman" w:hAnsi="Times New Roman" w:cs="Times New Roman"/>
          <w:sz w:val="28"/>
          <w:szCs w:val="28"/>
          <w:vertAlign w:val="subscript"/>
        </w:rPr>
        <w:t>2</w:t>
      </w:r>
      <w:r w:rsidRPr="006545AD">
        <w:rPr>
          <w:rFonts w:ascii="Times New Roman" w:eastAsia="Times New Roman" w:hAnsi="Times New Roman" w:cs="Times New Roman"/>
          <w:sz w:val="28"/>
          <w:szCs w:val="28"/>
        </w:rPr>
        <w:t xml:space="preserve"> theo hệ số làm nóng lên toàn cầu của các khí nhà kính. Hệ số làm nóng lên toàn cầu của các khí nhà kính do Ban liên chính phủ về biến đổi khí hậu quy định.</w:t>
      </w:r>
    </w:p>
    <w:p w14:paraId="5ED44ED2" w14:textId="77777777" w:rsidR="0040586B" w:rsidRPr="006545AD" w:rsidRDefault="0040586B" w:rsidP="0040586B">
      <w:pPr>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Lượng phát thải khí nhà kính được thu thập thông qua kiểm kê khí nhà kính, là hoạt động thu thập thông tin, số liệu về các nguồn phát thải khí nhà kính, tính toán lượng phát thải khí nhà kính, hấp thụ khí nhà kính trong một phạm vi xác định và trong một năm cụ thể theo phương pháp và quy trình do cơ quan có thẩm quyền ban hành. Phương pháp kiểm kê khí nhà kính được áp dụng theo các hướng dẫn kiểm kê khí nhà kính của Ban liên chính phủ về biến đổi khí hậu</w:t>
      </w:r>
      <w:r w:rsidRPr="006545AD">
        <w:rPr>
          <w:rFonts w:ascii="Times New Roman" w:eastAsia="Times New Roman" w:hAnsi="Times New Roman" w:cs="Times New Roman"/>
          <w:sz w:val="28"/>
          <w:szCs w:val="28"/>
          <w:vertAlign w:val="superscript"/>
        </w:rPr>
        <w:footnoteReference w:id="2"/>
      </w:r>
      <w:r w:rsidRPr="006545AD">
        <w:rPr>
          <w:rFonts w:ascii="Times New Roman" w:eastAsia="Times New Roman" w:hAnsi="Times New Roman" w:cs="Times New Roman"/>
          <w:sz w:val="28"/>
          <w:szCs w:val="28"/>
        </w:rPr>
        <w:t>.</w:t>
      </w:r>
    </w:p>
    <w:p w14:paraId="11E0BEAF" w14:textId="77777777" w:rsidR="0040586B" w:rsidRPr="006545AD" w:rsidRDefault="0040586B" w:rsidP="0040586B">
      <w:pPr>
        <w:spacing w:before="120" w:after="60" w:line="288" w:lineRule="auto"/>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t>Các lĩnh vực phải thực hiện kiểm kê khí nhà kính bao gồm: Năng lượng;  giao thông vận tải; xây dựng; các quá trình công nghiệp; nông nghiệp, lâm nghiệp và sử dụng đất; chất thải.</w:t>
      </w:r>
      <w:r w:rsidRPr="006545AD">
        <w:rPr>
          <w:rFonts w:ascii="Times New Roman" w:eastAsia="Times New Roman" w:hAnsi="Times New Roman" w:cs="Times New Roman"/>
          <w:sz w:val="28"/>
          <w:szCs w:val="28"/>
          <w:vertAlign w:val="superscript"/>
        </w:rPr>
        <w:footnoteReference w:id="3"/>
      </w:r>
    </w:p>
    <w:p w14:paraId="760004BB" w14:textId="77777777" w:rsidR="0040586B" w:rsidRPr="006545AD" w:rsidRDefault="0040586B" w:rsidP="0040586B">
      <w:pPr>
        <w:spacing w:before="120" w:after="60" w:line="288" w:lineRule="auto"/>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Khái niệm, phương pháp tính Tổng sản phẩm trong nước (GDP) được qui định trong Chỉ tiêu 0501, Nghị định 94/2022/NĐ-CP quy định nội dung chỉ tiêu thống kê thuộc hệ thống chỉ tiêu thống kê quốc gia.</w:t>
      </w:r>
    </w:p>
    <w:p w14:paraId="79C26CDF" w14:textId="77777777" w:rsidR="0040586B" w:rsidRPr="006545AD" w:rsidRDefault="0040586B" w:rsidP="0040586B">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Công thức tính:</w:t>
      </w:r>
    </w:p>
    <w:tbl>
      <w:tblPr>
        <w:tblStyle w:val="251"/>
        <w:tblW w:w="4489" w:type="pct"/>
        <w:jc w:val="center"/>
        <w:tblBorders>
          <w:top w:val="nil"/>
          <w:left w:val="nil"/>
          <w:bottom w:val="nil"/>
          <w:right w:val="nil"/>
          <w:insideH w:val="nil"/>
          <w:insideV w:val="nil"/>
        </w:tblBorders>
        <w:tblLook w:val="0600" w:firstRow="0" w:lastRow="0" w:firstColumn="0" w:lastColumn="0" w:noHBand="1" w:noVBand="1"/>
      </w:tblPr>
      <w:tblGrid>
        <w:gridCol w:w="2474"/>
        <w:gridCol w:w="710"/>
        <w:gridCol w:w="4678"/>
        <w:gridCol w:w="283"/>
      </w:tblGrid>
      <w:tr w:rsidR="0040586B" w:rsidRPr="006545AD" w14:paraId="50BC77E8" w14:textId="77777777" w:rsidTr="002E4693">
        <w:trPr>
          <w:trHeight w:val="414"/>
          <w:jc w:val="center"/>
        </w:trPr>
        <w:tc>
          <w:tcPr>
            <w:tcW w:w="1518" w:type="pct"/>
            <w:vMerge w:val="restart"/>
            <w:tcBorders>
              <w:top w:val="nil"/>
              <w:left w:val="nil"/>
              <w:bottom w:val="nil"/>
              <w:right w:val="nil"/>
            </w:tcBorders>
            <w:tcMar>
              <w:top w:w="100" w:type="dxa"/>
              <w:left w:w="100" w:type="dxa"/>
              <w:bottom w:w="100" w:type="dxa"/>
              <w:right w:w="100" w:type="dxa"/>
            </w:tcMar>
            <w:vAlign w:val="center"/>
          </w:tcPr>
          <w:p w14:paraId="32D7996E" w14:textId="77777777" w:rsidR="0040586B" w:rsidRPr="006545AD" w:rsidRDefault="0040586B" w:rsidP="0040586B">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Cường độ phát thải khí nhà kính</w:t>
            </w:r>
          </w:p>
        </w:tc>
        <w:tc>
          <w:tcPr>
            <w:tcW w:w="436" w:type="pct"/>
            <w:vMerge w:val="restart"/>
            <w:tcBorders>
              <w:top w:val="nil"/>
              <w:left w:val="nil"/>
              <w:bottom w:val="nil"/>
              <w:right w:val="nil"/>
            </w:tcBorders>
            <w:tcMar>
              <w:top w:w="100" w:type="dxa"/>
              <w:left w:w="100" w:type="dxa"/>
              <w:bottom w:w="100" w:type="dxa"/>
              <w:right w:w="100" w:type="dxa"/>
            </w:tcMar>
            <w:vAlign w:val="center"/>
          </w:tcPr>
          <w:p w14:paraId="1425D287" w14:textId="77777777" w:rsidR="0040586B" w:rsidRPr="006545AD" w:rsidRDefault="0040586B" w:rsidP="0040586B">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872" w:type="pct"/>
            <w:tcBorders>
              <w:top w:val="nil"/>
              <w:left w:val="nil"/>
              <w:bottom w:val="single" w:sz="2" w:space="0" w:color="auto"/>
              <w:right w:val="nil"/>
            </w:tcBorders>
            <w:tcMar>
              <w:top w:w="100" w:type="dxa"/>
              <w:left w:w="100" w:type="dxa"/>
              <w:bottom w:w="100" w:type="dxa"/>
              <w:right w:w="100" w:type="dxa"/>
            </w:tcMar>
            <w:vAlign w:val="center"/>
          </w:tcPr>
          <w:p w14:paraId="0A0A360D" w14:textId="77777777" w:rsidR="0040586B" w:rsidRPr="006545AD" w:rsidRDefault="0040586B" w:rsidP="0040586B">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Lượng phát thải khí nhà kính trong kỳ</w:t>
            </w:r>
          </w:p>
        </w:tc>
        <w:tc>
          <w:tcPr>
            <w:tcW w:w="174" w:type="pct"/>
            <w:vMerge w:val="restart"/>
            <w:tcBorders>
              <w:top w:val="nil"/>
              <w:left w:val="nil"/>
              <w:bottom w:val="nil"/>
              <w:right w:val="nil"/>
            </w:tcBorders>
            <w:tcMar>
              <w:top w:w="100" w:type="dxa"/>
              <w:left w:w="100" w:type="dxa"/>
              <w:bottom w:w="100" w:type="dxa"/>
              <w:right w:w="100" w:type="dxa"/>
            </w:tcMar>
            <w:vAlign w:val="center"/>
          </w:tcPr>
          <w:p w14:paraId="44C83C42" w14:textId="77777777" w:rsidR="0040586B" w:rsidRPr="006545AD" w:rsidRDefault="0040586B" w:rsidP="0040586B">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p>
        </w:tc>
      </w:tr>
      <w:tr w:rsidR="0040586B" w:rsidRPr="006545AD" w14:paraId="36B290DB" w14:textId="77777777" w:rsidTr="002E4693">
        <w:trPr>
          <w:trHeight w:val="354"/>
          <w:jc w:val="center"/>
        </w:trPr>
        <w:tc>
          <w:tcPr>
            <w:tcW w:w="1518" w:type="pct"/>
            <w:vMerge/>
            <w:tcBorders>
              <w:bottom w:val="nil"/>
              <w:right w:val="nil"/>
            </w:tcBorders>
            <w:shd w:val="clear" w:color="auto" w:fill="auto"/>
            <w:tcMar>
              <w:top w:w="100" w:type="dxa"/>
              <w:left w:w="100" w:type="dxa"/>
              <w:bottom w:w="100" w:type="dxa"/>
              <w:right w:w="100" w:type="dxa"/>
            </w:tcMar>
            <w:vAlign w:val="center"/>
          </w:tcPr>
          <w:p w14:paraId="6950E781" w14:textId="77777777" w:rsidR="0040586B" w:rsidRPr="006545AD" w:rsidRDefault="0040586B" w:rsidP="0040586B">
            <w:pPr>
              <w:spacing w:before="60" w:after="60" w:line="360" w:lineRule="exact"/>
              <w:rPr>
                <w:rFonts w:ascii="Times New Roman" w:eastAsia="Times New Roman" w:hAnsi="Times New Roman" w:cs="Times New Roman"/>
                <w:sz w:val="28"/>
                <w:szCs w:val="28"/>
              </w:rPr>
            </w:pPr>
          </w:p>
        </w:tc>
        <w:tc>
          <w:tcPr>
            <w:tcW w:w="436" w:type="pct"/>
            <w:vMerge/>
            <w:tcBorders>
              <w:bottom w:val="nil"/>
              <w:right w:val="nil"/>
            </w:tcBorders>
            <w:shd w:val="clear" w:color="auto" w:fill="auto"/>
            <w:tcMar>
              <w:top w:w="100" w:type="dxa"/>
              <w:left w:w="100" w:type="dxa"/>
              <w:bottom w:w="100" w:type="dxa"/>
              <w:right w:w="100" w:type="dxa"/>
            </w:tcMar>
            <w:vAlign w:val="center"/>
          </w:tcPr>
          <w:p w14:paraId="5FCE331A" w14:textId="77777777" w:rsidR="0040586B" w:rsidRPr="006545AD" w:rsidRDefault="0040586B" w:rsidP="0040586B">
            <w:pPr>
              <w:spacing w:before="60" w:after="60" w:line="360" w:lineRule="exact"/>
              <w:jc w:val="both"/>
              <w:rPr>
                <w:rFonts w:ascii="Times New Roman" w:eastAsia="Times New Roman" w:hAnsi="Times New Roman" w:cs="Times New Roman"/>
                <w:sz w:val="28"/>
                <w:szCs w:val="28"/>
              </w:rPr>
            </w:pPr>
          </w:p>
        </w:tc>
        <w:tc>
          <w:tcPr>
            <w:tcW w:w="2872" w:type="pct"/>
            <w:tcBorders>
              <w:top w:val="single" w:sz="2" w:space="0" w:color="auto"/>
              <w:left w:val="nil"/>
              <w:bottom w:val="nil"/>
              <w:right w:val="nil"/>
            </w:tcBorders>
            <w:shd w:val="clear" w:color="auto" w:fill="auto"/>
            <w:tcMar>
              <w:top w:w="100" w:type="dxa"/>
              <w:left w:w="100" w:type="dxa"/>
              <w:bottom w:w="100" w:type="dxa"/>
              <w:right w:w="100" w:type="dxa"/>
            </w:tcMar>
            <w:vAlign w:val="center"/>
          </w:tcPr>
          <w:p w14:paraId="048B543A" w14:textId="77777777" w:rsidR="0040586B" w:rsidRPr="006545AD" w:rsidRDefault="0040586B" w:rsidP="0040586B">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GDP</w:t>
            </w:r>
          </w:p>
        </w:tc>
        <w:tc>
          <w:tcPr>
            <w:tcW w:w="174" w:type="pct"/>
            <w:vMerge/>
            <w:tcBorders>
              <w:bottom w:val="nil"/>
              <w:right w:val="nil"/>
            </w:tcBorders>
            <w:shd w:val="clear" w:color="auto" w:fill="auto"/>
            <w:tcMar>
              <w:top w:w="100" w:type="dxa"/>
              <w:left w:w="100" w:type="dxa"/>
              <w:bottom w:w="100" w:type="dxa"/>
              <w:right w:w="100" w:type="dxa"/>
            </w:tcMar>
            <w:vAlign w:val="center"/>
          </w:tcPr>
          <w:p w14:paraId="702AD822" w14:textId="77777777" w:rsidR="0040586B" w:rsidRPr="006545AD" w:rsidRDefault="0040586B" w:rsidP="0040586B">
            <w:pPr>
              <w:spacing w:before="60" w:after="60" w:line="360" w:lineRule="exact"/>
              <w:jc w:val="both"/>
              <w:rPr>
                <w:rFonts w:ascii="Times New Roman" w:eastAsia="Times New Roman" w:hAnsi="Times New Roman" w:cs="Times New Roman"/>
                <w:sz w:val="28"/>
                <w:szCs w:val="28"/>
              </w:rPr>
            </w:pPr>
          </w:p>
        </w:tc>
      </w:tr>
    </w:tbl>
    <w:p w14:paraId="7B6BE8D0" w14:textId="77777777" w:rsidR="0040586B" w:rsidRPr="006545AD" w:rsidRDefault="0040586B" w:rsidP="0040586B">
      <w:pPr>
        <w:spacing w:before="60" w:after="8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2. Phân tổ chủ yếu</w:t>
      </w:r>
    </w:p>
    <w:p w14:paraId="75CF69CC"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Nguồn phát thải;</w:t>
      </w:r>
    </w:p>
    <w:p w14:paraId="311AA93A"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Loại khí nhà kính.</w:t>
      </w:r>
    </w:p>
    <w:p w14:paraId="66DAE21F"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Vùng;</w:t>
      </w:r>
    </w:p>
    <w:p w14:paraId="7621A71C"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Tỉnh, thành phố trực thuộc Trung ương.</w:t>
      </w:r>
    </w:p>
    <w:p w14:paraId="0414D3F0"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2 năm.</w:t>
      </w:r>
    </w:p>
    <w:p w14:paraId="2E134DEB" w14:textId="77777777" w:rsidR="0040586B" w:rsidRPr="006545AD" w:rsidRDefault="0040586B" w:rsidP="0040586B">
      <w:pPr>
        <w:spacing w:before="60" w:after="8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35A0FEE6"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Dữ liệu hành chính;</w:t>
      </w:r>
    </w:p>
    <w:p w14:paraId="7C5F7ED0" w14:textId="77777777" w:rsidR="0040586B" w:rsidRPr="006545AD" w:rsidRDefault="0040586B" w:rsidP="0040586B">
      <w:pPr>
        <w:spacing w:before="60" w:after="8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7690F9C7"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Chủ trì: Bộ Tài nguyên và Môi trường;</w:t>
      </w:r>
    </w:p>
    <w:p w14:paraId="32CB5030" w14:textId="77777777" w:rsidR="0040586B" w:rsidRPr="006545AD" w:rsidRDefault="0040586B" w:rsidP="0040586B">
      <w:pPr>
        <w:spacing w:before="60" w:after="8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Phối hợp: Bộ Kế hoạch và Đầu tư (Tổng cục Thống kê), Bộ Công thương, Bộ Xây dựng, Bộ Giao thông vận tải, Bộ Nông nghiệp và Phát triển nông thôn.</w:t>
      </w:r>
    </w:p>
    <w:p w14:paraId="3CD015E2" w14:textId="77777777" w:rsidR="0040586B" w:rsidRPr="006545AD" w:rsidRDefault="0040586B" w:rsidP="0040586B">
      <w:pPr>
        <w:spacing w:before="120" w:after="8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1.2. Tổng lượng phát thải khí nhà kính</w:t>
      </w:r>
    </w:p>
    <w:p w14:paraId="15E44DC7" w14:textId="77777777" w:rsidR="0040586B" w:rsidRPr="006545AD" w:rsidRDefault="0040586B" w:rsidP="0040586B">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 Khái niệm, phương pháp tính</w:t>
      </w:r>
    </w:p>
    <w:p w14:paraId="72889A7D" w14:textId="77777777" w:rsidR="0040586B" w:rsidRPr="006545AD" w:rsidRDefault="0040586B" w:rsidP="0040586B">
      <w:pPr>
        <w:spacing w:before="80" w:after="6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pacing w:val="-4"/>
          <w:sz w:val="28"/>
          <w:szCs w:val="28"/>
        </w:rPr>
        <w:t xml:space="preserve">Khí nhà kính là các loại khí trong khí quyển gây hiệu ứng nhà kính. Theo Nghị định thư Kyoto và theo Luật bảo vệ môi trường, các khí nhà kính chính là </w:t>
      </w:r>
      <w:r w:rsidRPr="006545AD">
        <w:rPr>
          <w:rFonts w:ascii="Times New Roman" w:eastAsia="Times New Roman" w:hAnsi="Times New Roman" w:cs="Times New Roman"/>
          <w:i/>
          <w:spacing w:val="-4"/>
          <w:sz w:val="28"/>
          <w:szCs w:val="28"/>
        </w:rPr>
        <w:t>carbon dioxide</w:t>
      </w:r>
      <w:r w:rsidRPr="006545AD">
        <w:rPr>
          <w:rFonts w:ascii="Times New Roman" w:eastAsia="Times New Roman" w:hAnsi="Times New Roman" w:cs="Times New Roman"/>
          <w:spacing w:val="-4"/>
          <w:sz w:val="28"/>
          <w:szCs w:val="28"/>
        </w:rPr>
        <w:t xml:space="preserve"> (CO</w:t>
      </w:r>
      <w:r w:rsidRPr="006545AD">
        <w:rPr>
          <w:rFonts w:ascii="Times New Roman" w:eastAsia="Times New Roman" w:hAnsi="Times New Roman" w:cs="Times New Roman"/>
          <w:spacing w:val="-4"/>
          <w:sz w:val="28"/>
          <w:szCs w:val="28"/>
          <w:vertAlign w:val="subscript"/>
        </w:rPr>
        <w:t>2</w:t>
      </w:r>
      <w:r w:rsidRPr="006545AD">
        <w:rPr>
          <w:rFonts w:ascii="Times New Roman" w:eastAsia="Times New Roman" w:hAnsi="Times New Roman" w:cs="Times New Roman"/>
          <w:spacing w:val="-4"/>
          <w:sz w:val="28"/>
          <w:szCs w:val="28"/>
        </w:rPr>
        <w:t xml:space="preserve">), </w:t>
      </w:r>
      <w:r w:rsidRPr="006545AD">
        <w:rPr>
          <w:rFonts w:ascii="Times New Roman" w:eastAsia="Times New Roman" w:hAnsi="Times New Roman" w:cs="Times New Roman"/>
          <w:i/>
          <w:spacing w:val="-4"/>
          <w:sz w:val="28"/>
          <w:szCs w:val="28"/>
        </w:rPr>
        <w:t>methane</w:t>
      </w:r>
      <w:r w:rsidRPr="006545AD">
        <w:rPr>
          <w:rFonts w:ascii="Times New Roman" w:eastAsia="Times New Roman" w:hAnsi="Times New Roman" w:cs="Times New Roman"/>
          <w:spacing w:val="-4"/>
          <w:sz w:val="28"/>
          <w:szCs w:val="28"/>
        </w:rPr>
        <w:t xml:space="preserve"> (CH</w:t>
      </w:r>
      <w:r w:rsidRPr="006545AD">
        <w:rPr>
          <w:rFonts w:ascii="Times New Roman" w:eastAsia="Times New Roman" w:hAnsi="Times New Roman" w:cs="Times New Roman"/>
          <w:spacing w:val="-4"/>
          <w:sz w:val="28"/>
          <w:szCs w:val="28"/>
          <w:vertAlign w:val="subscript"/>
        </w:rPr>
        <w:t>4</w:t>
      </w:r>
      <w:r w:rsidRPr="006545AD">
        <w:rPr>
          <w:rFonts w:ascii="Times New Roman" w:eastAsia="Times New Roman" w:hAnsi="Times New Roman" w:cs="Times New Roman"/>
          <w:spacing w:val="-4"/>
          <w:sz w:val="28"/>
          <w:szCs w:val="28"/>
        </w:rPr>
        <w:t xml:space="preserve">) và </w:t>
      </w:r>
      <w:r w:rsidRPr="006545AD">
        <w:rPr>
          <w:rFonts w:ascii="Times New Roman" w:eastAsia="Times New Roman" w:hAnsi="Times New Roman" w:cs="Times New Roman"/>
          <w:i/>
          <w:spacing w:val="-4"/>
          <w:sz w:val="28"/>
          <w:szCs w:val="28"/>
        </w:rPr>
        <w:t>nitrous oxide</w:t>
      </w:r>
      <w:r w:rsidRPr="006545AD">
        <w:rPr>
          <w:rFonts w:ascii="Times New Roman" w:eastAsia="Times New Roman" w:hAnsi="Times New Roman" w:cs="Times New Roman"/>
          <w:spacing w:val="-4"/>
          <w:sz w:val="28"/>
          <w:szCs w:val="28"/>
        </w:rPr>
        <w:t xml:space="preserve"> (N</w:t>
      </w:r>
      <w:r w:rsidRPr="006545AD">
        <w:rPr>
          <w:rFonts w:ascii="Times New Roman" w:eastAsia="Times New Roman" w:hAnsi="Times New Roman" w:cs="Times New Roman"/>
          <w:spacing w:val="-4"/>
          <w:sz w:val="28"/>
          <w:szCs w:val="28"/>
          <w:vertAlign w:val="subscript"/>
        </w:rPr>
        <w:t>2</w:t>
      </w:r>
      <w:r w:rsidRPr="006545AD">
        <w:rPr>
          <w:rFonts w:ascii="Times New Roman" w:eastAsia="Times New Roman" w:hAnsi="Times New Roman" w:cs="Times New Roman"/>
          <w:spacing w:val="-4"/>
          <w:sz w:val="28"/>
          <w:szCs w:val="28"/>
        </w:rPr>
        <w:t xml:space="preserve">O). Các khí có hàm lượng thấp nhưng có tiềm năng cao gây hiệu ứng nhà kính là </w:t>
      </w:r>
      <w:r w:rsidRPr="006545AD">
        <w:rPr>
          <w:rFonts w:ascii="Times New Roman" w:eastAsia="Times New Roman" w:hAnsi="Times New Roman" w:cs="Times New Roman"/>
          <w:i/>
          <w:spacing w:val="-4"/>
          <w:sz w:val="28"/>
          <w:szCs w:val="28"/>
        </w:rPr>
        <w:t>hydrofluorocarbons</w:t>
      </w:r>
      <w:r w:rsidRPr="006545AD">
        <w:rPr>
          <w:rFonts w:ascii="Times New Roman" w:eastAsia="Times New Roman" w:hAnsi="Times New Roman" w:cs="Times New Roman"/>
          <w:spacing w:val="-4"/>
          <w:sz w:val="28"/>
          <w:szCs w:val="28"/>
        </w:rPr>
        <w:t xml:space="preserve"> (HFCs), </w:t>
      </w:r>
      <w:r w:rsidRPr="006545AD">
        <w:rPr>
          <w:rFonts w:ascii="Times New Roman" w:eastAsia="Times New Roman" w:hAnsi="Times New Roman" w:cs="Times New Roman"/>
          <w:i/>
          <w:spacing w:val="-4"/>
          <w:sz w:val="28"/>
          <w:szCs w:val="28"/>
        </w:rPr>
        <w:t>perfluorocarbons</w:t>
      </w:r>
      <w:r w:rsidRPr="006545AD">
        <w:rPr>
          <w:rFonts w:ascii="Times New Roman" w:eastAsia="Times New Roman" w:hAnsi="Times New Roman" w:cs="Times New Roman"/>
          <w:spacing w:val="-4"/>
          <w:sz w:val="28"/>
          <w:szCs w:val="28"/>
        </w:rPr>
        <w:t xml:space="preserve"> (PFCs), </w:t>
      </w:r>
      <w:r w:rsidRPr="006545AD">
        <w:rPr>
          <w:rFonts w:ascii="Times New Roman" w:eastAsia="Times New Roman" w:hAnsi="Times New Roman" w:cs="Times New Roman"/>
          <w:i/>
          <w:spacing w:val="-4"/>
          <w:sz w:val="28"/>
          <w:szCs w:val="28"/>
        </w:rPr>
        <w:t>sulphur hexafluoride</w:t>
      </w:r>
      <w:r w:rsidRPr="006545AD">
        <w:rPr>
          <w:rFonts w:ascii="Times New Roman" w:eastAsia="Times New Roman" w:hAnsi="Times New Roman" w:cs="Times New Roman"/>
          <w:spacing w:val="-4"/>
          <w:sz w:val="28"/>
          <w:szCs w:val="28"/>
        </w:rPr>
        <w:t xml:space="preserve"> (SF</w:t>
      </w:r>
      <w:r w:rsidRPr="006545AD">
        <w:rPr>
          <w:rFonts w:ascii="Times New Roman" w:eastAsia="Times New Roman" w:hAnsi="Times New Roman" w:cs="Times New Roman"/>
          <w:spacing w:val="-4"/>
          <w:sz w:val="28"/>
          <w:szCs w:val="28"/>
          <w:vertAlign w:val="subscript"/>
        </w:rPr>
        <w:t>6</w:t>
      </w:r>
      <w:r w:rsidRPr="006545AD">
        <w:rPr>
          <w:rFonts w:ascii="Times New Roman" w:eastAsia="Times New Roman" w:hAnsi="Times New Roman" w:cs="Times New Roman"/>
          <w:spacing w:val="-4"/>
          <w:sz w:val="28"/>
          <w:szCs w:val="28"/>
        </w:rPr>
        <w:t xml:space="preserve">) và </w:t>
      </w:r>
      <w:r w:rsidRPr="006545AD">
        <w:rPr>
          <w:rFonts w:ascii="Times New Roman" w:eastAsia="Times New Roman" w:hAnsi="Times New Roman" w:cs="Times New Roman"/>
          <w:i/>
          <w:spacing w:val="-4"/>
          <w:sz w:val="28"/>
          <w:szCs w:val="28"/>
        </w:rPr>
        <w:t>nitrogen trifluoride</w:t>
      </w:r>
      <w:r w:rsidRPr="006545AD">
        <w:rPr>
          <w:rFonts w:ascii="Times New Roman" w:eastAsia="Times New Roman" w:hAnsi="Times New Roman" w:cs="Times New Roman"/>
          <w:spacing w:val="-4"/>
          <w:sz w:val="28"/>
          <w:szCs w:val="28"/>
        </w:rPr>
        <w:t xml:space="preserve"> (NF</w:t>
      </w:r>
      <w:r w:rsidRPr="006545AD">
        <w:rPr>
          <w:rFonts w:ascii="Times New Roman" w:eastAsia="Times New Roman" w:hAnsi="Times New Roman" w:cs="Times New Roman"/>
          <w:spacing w:val="-4"/>
          <w:sz w:val="28"/>
          <w:szCs w:val="28"/>
          <w:vertAlign w:val="subscript"/>
        </w:rPr>
        <w:t>3</w:t>
      </w:r>
      <w:r w:rsidRPr="006545AD">
        <w:rPr>
          <w:rFonts w:ascii="Times New Roman" w:eastAsia="Times New Roman" w:hAnsi="Times New Roman" w:cs="Times New Roman"/>
          <w:spacing w:val="-4"/>
          <w:sz w:val="28"/>
          <w:szCs w:val="28"/>
        </w:rPr>
        <w:t>)</w:t>
      </w:r>
      <w:r w:rsidRPr="006545AD">
        <w:rPr>
          <w:rFonts w:ascii="Times New Roman" w:eastAsia="Times New Roman" w:hAnsi="Times New Roman" w:cs="Times New Roman"/>
          <w:spacing w:val="-4"/>
          <w:sz w:val="28"/>
          <w:szCs w:val="28"/>
          <w:vertAlign w:val="superscript"/>
        </w:rPr>
        <w:footnoteReference w:id="4"/>
      </w:r>
      <w:r w:rsidRPr="006545AD">
        <w:rPr>
          <w:rFonts w:ascii="Times New Roman" w:eastAsia="Times New Roman" w:hAnsi="Times New Roman" w:cs="Times New Roman"/>
          <w:spacing w:val="-4"/>
          <w:sz w:val="28"/>
          <w:szCs w:val="28"/>
        </w:rPr>
        <w:t>.</w:t>
      </w:r>
    </w:p>
    <w:p w14:paraId="7D9BAD62" w14:textId="77777777" w:rsidR="0040586B" w:rsidRPr="006545AD" w:rsidRDefault="0040586B" w:rsidP="0040586B">
      <w:pPr>
        <w:spacing w:before="8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Lượng phát thải khí nhà kính được tính quy đổi ra lượng phát thải khí CO</w:t>
      </w:r>
      <w:r w:rsidRPr="006545AD">
        <w:rPr>
          <w:rFonts w:ascii="Times New Roman" w:eastAsia="Times New Roman" w:hAnsi="Times New Roman" w:cs="Times New Roman"/>
          <w:sz w:val="28"/>
          <w:szCs w:val="28"/>
          <w:vertAlign w:val="subscript"/>
        </w:rPr>
        <w:t>2</w:t>
      </w:r>
      <w:r w:rsidRPr="006545AD">
        <w:rPr>
          <w:rFonts w:ascii="Times New Roman" w:eastAsia="Times New Roman" w:hAnsi="Times New Roman" w:cs="Times New Roman"/>
          <w:sz w:val="28"/>
          <w:szCs w:val="28"/>
        </w:rPr>
        <w:t xml:space="preserve"> tương đương (</w:t>
      </w:r>
      <w:r w:rsidRPr="006545AD">
        <w:rPr>
          <w:rFonts w:ascii="Times New Roman" w:eastAsia="Times New Roman" w:hAnsi="Times New Roman" w:cs="Times New Roman"/>
          <w:i/>
          <w:sz w:val="28"/>
          <w:szCs w:val="28"/>
        </w:rPr>
        <w:t>tính theo đơn vị tấn CO</w:t>
      </w:r>
      <w:r w:rsidRPr="006545AD">
        <w:rPr>
          <w:rFonts w:ascii="Times New Roman" w:eastAsia="Times New Roman" w:hAnsi="Times New Roman" w:cs="Times New Roman"/>
          <w:i/>
          <w:sz w:val="28"/>
          <w:szCs w:val="28"/>
          <w:vertAlign w:val="subscript"/>
        </w:rPr>
        <w:t>2</w:t>
      </w:r>
      <w:r w:rsidRPr="006545AD">
        <w:rPr>
          <w:rFonts w:ascii="Times New Roman" w:eastAsia="Times New Roman" w:hAnsi="Times New Roman" w:cs="Times New Roman"/>
          <w:i/>
          <w:sz w:val="28"/>
          <w:szCs w:val="28"/>
        </w:rPr>
        <w:t xml:space="preserve"> tương đương</w:t>
      </w:r>
      <w:r w:rsidRPr="006545AD">
        <w:rPr>
          <w:rFonts w:ascii="Times New Roman" w:eastAsia="Times New Roman" w:hAnsi="Times New Roman" w:cs="Times New Roman"/>
          <w:sz w:val="28"/>
          <w:szCs w:val="28"/>
        </w:rPr>
        <w:t>). Tấn CO</w:t>
      </w:r>
      <w:r w:rsidRPr="006545AD">
        <w:rPr>
          <w:rFonts w:ascii="Times New Roman" w:eastAsia="Times New Roman" w:hAnsi="Times New Roman" w:cs="Times New Roman"/>
          <w:sz w:val="28"/>
          <w:szCs w:val="28"/>
          <w:vertAlign w:val="subscript"/>
        </w:rPr>
        <w:t>2</w:t>
      </w:r>
      <w:r w:rsidRPr="006545AD">
        <w:rPr>
          <w:rFonts w:ascii="Times New Roman" w:eastAsia="Times New Roman" w:hAnsi="Times New Roman" w:cs="Times New Roman"/>
          <w:sz w:val="28"/>
          <w:szCs w:val="28"/>
        </w:rPr>
        <w:t xml:space="preserve"> tương đương là khối lượng của các khí nhà kính được quy đổi thành tấn CO</w:t>
      </w:r>
      <w:r w:rsidRPr="006545AD">
        <w:rPr>
          <w:rFonts w:ascii="Times New Roman" w:eastAsia="Times New Roman" w:hAnsi="Times New Roman" w:cs="Times New Roman"/>
          <w:sz w:val="28"/>
          <w:szCs w:val="28"/>
          <w:vertAlign w:val="subscript"/>
        </w:rPr>
        <w:t>2</w:t>
      </w:r>
      <w:r w:rsidRPr="006545AD">
        <w:rPr>
          <w:rFonts w:ascii="Times New Roman" w:eastAsia="Times New Roman" w:hAnsi="Times New Roman" w:cs="Times New Roman"/>
          <w:sz w:val="28"/>
          <w:szCs w:val="28"/>
        </w:rPr>
        <w:t xml:space="preserve"> theo hệ số làm nóng </w:t>
      </w:r>
      <w:r w:rsidRPr="006545AD">
        <w:rPr>
          <w:rFonts w:ascii="Times New Roman" w:eastAsia="Times New Roman" w:hAnsi="Times New Roman" w:cs="Times New Roman"/>
          <w:sz w:val="28"/>
          <w:szCs w:val="28"/>
        </w:rPr>
        <w:lastRenderedPageBreak/>
        <w:t>lên toàn cầu của các khí nhà kính đó. Hệ số làm nóng lên toàn cầu của các khí nhà kính do Ban liên chính phủ về biến đổi khí hậu quy định.</w:t>
      </w:r>
    </w:p>
    <w:p w14:paraId="58579218" w14:textId="77777777" w:rsidR="0040586B" w:rsidRPr="006545AD" w:rsidRDefault="0040586B" w:rsidP="0040586B">
      <w:pPr>
        <w:spacing w:before="80" w:after="60" w:line="38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Lượng phát thải khí nhà kính được thu thập thông qua kiểm kê khí nhà kính, là hoạt động thu thập thông tin, số liệu về các nguồn phát thải khí nhà kính, tính toán lượng phát thải khí nhà kính, hấp thụ khí nhà kính trong một phạm vi xác định và trong một năm cụ thể theo phương pháp và quy trình do cơ quan có thẩm quyền ban hành. Phương pháp kiểm kê khí nhà kính được áp dụng theo các hướng dẫn kiểm kê khí nhà kính của Ban liên chính phủ về biến đổi khí hậu</w:t>
      </w:r>
      <w:r w:rsidRPr="006545AD">
        <w:rPr>
          <w:rFonts w:ascii="Times New Roman" w:eastAsia="Times New Roman" w:hAnsi="Times New Roman" w:cs="Times New Roman"/>
          <w:sz w:val="28"/>
          <w:szCs w:val="28"/>
          <w:vertAlign w:val="superscript"/>
        </w:rPr>
        <w:footnoteReference w:id="5"/>
      </w:r>
      <w:r w:rsidRPr="006545AD">
        <w:rPr>
          <w:rFonts w:ascii="Times New Roman" w:eastAsia="Times New Roman" w:hAnsi="Times New Roman" w:cs="Times New Roman"/>
          <w:sz w:val="28"/>
          <w:szCs w:val="28"/>
        </w:rPr>
        <w:t>.</w:t>
      </w:r>
    </w:p>
    <w:p w14:paraId="328C888C" w14:textId="77777777" w:rsidR="0040586B" w:rsidRPr="006545AD" w:rsidRDefault="0040586B" w:rsidP="0040586B">
      <w:pPr>
        <w:spacing w:before="120" w:after="60" w:line="288" w:lineRule="auto"/>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Các lĩnh vực phải thực hiện kiểm kê khí nhà kính bao gồm: Năng lượng;  giao thông vận tải; xây dựng; các quá trình công nghiệp; nông nghiệp, lâm nghiệp và sử dụng đất; chất thải</w:t>
      </w:r>
      <w:r w:rsidRPr="006545AD">
        <w:rPr>
          <w:rFonts w:ascii="Times New Roman" w:eastAsia="Times New Roman" w:hAnsi="Times New Roman" w:cs="Times New Roman"/>
          <w:sz w:val="28"/>
          <w:szCs w:val="28"/>
          <w:vertAlign w:val="superscript"/>
        </w:rPr>
        <w:footnoteReference w:id="6"/>
      </w:r>
      <w:r w:rsidRPr="006545AD">
        <w:rPr>
          <w:rFonts w:ascii="Times New Roman" w:eastAsia="Times New Roman" w:hAnsi="Times New Roman" w:cs="Times New Roman"/>
          <w:sz w:val="28"/>
          <w:szCs w:val="28"/>
        </w:rPr>
        <w:t>.</w:t>
      </w:r>
    </w:p>
    <w:p w14:paraId="545F36EE" w14:textId="77777777" w:rsidR="0040586B" w:rsidRPr="006545AD" w:rsidRDefault="0040586B" w:rsidP="0040586B">
      <w:pPr>
        <w:spacing w:before="60" w:after="6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pacing w:val="4"/>
          <w:sz w:val="28"/>
          <w:szCs w:val="28"/>
        </w:rPr>
        <w:t>Chỉ tiêu này tính tổng số lượng khí nhà kính phát thải cộng dồn đến năm kiểm kê.</w:t>
      </w:r>
    </w:p>
    <w:p w14:paraId="63CB1AA8" w14:textId="77777777" w:rsidR="0040586B" w:rsidRPr="006545AD" w:rsidRDefault="0040586B" w:rsidP="0040586B">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b/>
          <w:sz w:val="28"/>
          <w:szCs w:val="28"/>
        </w:rPr>
        <w:t>2. Phân tổ chủ yếu</w:t>
      </w:r>
    </w:p>
    <w:p w14:paraId="01CA82D7" w14:textId="77777777" w:rsidR="0040586B" w:rsidRPr="006545AD" w:rsidRDefault="0040586B" w:rsidP="0040586B">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Nguồn phát thải;</w:t>
      </w:r>
    </w:p>
    <w:p w14:paraId="510A237C" w14:textId="77777777" w:rsidR="0040586B" w:rsidRPr="006545AD" w:rsidRDefault="0040586B" w:rsidP="0040586B">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Loại khí nhà kính;</w:t>
      </w:r>
    </w:p>
    <w:p w14:paraId="0D001A6D" w14:textId="77777777" w:rsidR="0040586B" w:rsidRPr="006545AD" w:rsidRDefault="0040586B" w:rsidP="0040586B">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t>- Lĩnh vực:</w:t>
      </w:r>
    </w:p>
    <w:p w14:paraId="580291ED"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sz w:val="28"/>
          <w:szCs w:val="28"/>
        </w:rPr>
      </w:pPr>
      <w:r w:rsidRPr="006545AD">
        <w:rPr>
          <w:rFonts w:ascii="Times New Roman" w:eastAsia="Times New Roman" w:hAnsi="Times New Roman" w:cs="Times New Roman"/>
          <w:b/>
          <w:bCs/>
          <w:color w:val="000000"/>
          <w:sz w:val="28"/>
          <w:szCs w:val="28"/>
          <w:lang w:val="en-US"/>
        </w:rPr>
        <w:tab/>
        <w:t>Năng lượng</w:t>
      </w:r>
    </w:p>
    <w:p w14:paraId="75A51220"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b/>
          <w:bCs/>
          <w:color w:val="000000"/>
          <w:sz w:val="28"/>
          <w:szCs w:val="28"/>
          <w:lang w:val="en-US"/>
        </w:rPr>
        <w:tab/>
      </w:r>
      <w:r w:rsidRPr="006545AD">
        <w:rPr>
          <w:rFonts w:ascii="Times New Roman" w:eastAsia="Times New Roman" w:hAnsi="Times New Roman" w:cs="Times New Roman"/>
          <w:color w:val="000000"/>
          <w:sz w:val="28"/>
          <w:szCs w:val="28"/>
          <w:lang w:val="en-US"/>
        </w:rPr>
        <w:t>+ Công nghiệp sản xuất năng lượng</w:t>
      </w:r>
    </w:p>
    <w:p w14:paraId="58B55E71" w14:textId="77777777" w:rsidR="0040586B" w:rsidRPr="006545AD" w:rsidRDefault="0040586B" w:rsidP="0040586B">
      <w:pPr>
        <w:tabs>
          <w:tab w:val="left" w:pos="993"/>
        </w:tabs>
        <w:spacing w:before="60" w:after="60" w:line="340" w:lineRule="exact"/>
        <w:ind w:right="-138"/>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Tiêu thụ năng lượng trong công nghiệp, thương mại, dịch vụ và dân dụng</w:t>
      </w:r>
    </w:p>
    <w:p w14:paraId="40F508F7"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Khai thác than</w:t>
      </w:r>
    </w:p>
    <w:p w14:paraId="1365C57F"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Khai thác dầu và khí tự nhiên</w:t>
      </w:r>
    </w:p>
    <w:p w14:paraId="425663D7"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b/>
          <w:bCs/>
          <w:color w:val="000000"/>
          <w:sz w:val="28"/>
          <w:szCs w:val="28"/>
          <w:lang w:val="en-US"/>
        </w:rPr>
      </w:pPr>
      <w:r w:rsidRPr="006545AD">
        <w:rPr>
          <w:rFonts w:ascii="Times New Roman" w:eastAsia="Times New Roman" w:hAnsi="Times New Roman" w:cs="Times New Roman"/>
          <w:b/>
          <w:bCs/>
          <w:color w:val="000000"/>
          <w:sz w:val="28"/>
          <w:szCs w:val="28"/>
          <w:lang w:val="en-US"/>
        </w:rPr>
        <w:tab/>
        <w:t>Giao thông vận tải</w:t>
      </w:r>
    </w:p>
    <w:p w14:paraId="07410C9F"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Tiêu thụ năng lượng trong giao thông vận tải</w:t>
      </w:r>
    </w:p>
    <w:p w14:paraId="658DD73F"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b/>
          <w:bCs/>
          <w:color w:val="000000"/>
          <w:sz w:val="28"/>
          <w:szCs w:val="28"/>
          <w:lang w:val="en-US"/>
        </w:rPr>
      </w:pPr>
      <w:r w:rsidRPr="006545AD">
        <w:rPr>
          <w:rFonts w:ascii="Times New Roman" w:eastAsia="Times New Roman" w:hAnsi="Times New Roman" w:cs="Times New Roman"/>
          <w:b/>
          <w:bCs/>
          <w:color w:val="000000"/>
          <w:sz w:val="28"/>
          <w:szCs w:val="28"/>
          <w:lang w:val="en-US"/>
        </w:rPr>
        <w:tab/>
        <w:t>Xây dựng</w:t>
      </w:r>
    </w:p>
    <w:p w14:paraId="0D878187"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Tiêu thụ năng lượng trong ngành xây dựng</w:t>
      </w:r>
    </w:p>
    <w:p w14:paraId="2280D244"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Các quá trình công nghiệp trong sản xuất vật liệu xây dựng</w:t>
      </w:r>
    </w:p>
    <w:p w14:paraId="430F3359"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b/>
          <w:bCs/>
          <w:color w:val="000000"/>
          <w:sz w:val="28"/>
          <w:szCs w:val="28"/>
          <w:lang w:val="en-US"/>
        </w:rPr>
      </w:pPr>
      <w:r w:rsidRPr="006545AD">
        <w:rPr>
          <w:rFonts w:ascii="Times New Roman" w:eastAsia="Times New Roman" w:hAnsi="Times New Roman" w:cs="Times New Roman"/>
          <w:b/>
          <w:bCs/>
          <w:color w:val="000000"/>
          <w:sz w:val="28"/>
          <w:szCs w:val="28"/>
          <w:lang w:val="en-US"/>
        </w:rPr>
        <w:tab/>
        <w:t>Các quá trình công nghiệp</w:t>
      </w:r>
    </w:p>
    <w:p w14:paraId="3931C376"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Sản xuất hóa chất</w:t>
      </w:r>
    </w:p>
    <w:p w14:paraId="45244F72"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Luyện kim</w:t>
      </w:r>
    </w:p>
    <w:p w14:paraId="1D08B07E"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Công nghiệp điện tử</w:t>
      </w:r>
    </w:p>
    <w:p w14:paraId="716790B6"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Sử dụng sản phẩm thay thế cho các chất làm suy giảm tầng ô-dôn</w:t>
      </w:r>
    </w:p>
    <w:p w14:paraId="2D278623"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Sản xuất và sử dụng các sản phẩm công nghiệp khác</w:t>
      </w:r>
    </w:p>
    <w:p w14:paraId="6051B578"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b/>
          <w:bCs/>
          <w:color w:val="000000"/>
          <w:sz w:val="28"/>
          <w:szCs w:val="28"/>
          <w:lang w:val="en-US"/>
        </w:rPr>
      </w:pPr>
      <w:r w:rsidRPr="006545AD">
        <w:rPr>
          <w:rFonts w:ascii="Times New Roman" w:eastAsia="Times New Roman" w:hAnsi="Times New Roman" w:cs="Times New Roman"/>
          <w:b/>
          <w:bCs/>
          <w:color w:val="000000"/>
          <w:sz w:val="28"/>
          <w:szCs w:val="28"/>
          <w:lang w:val="en-US"/>
        </w:rPr>
        <w:lastRenderedPageBreak/>
        <w:tab/>
        <w:t>Nông nghiệp, lâm nghiệp và sử dụng đất</w:t>
      </w:r>
    </w:p>
    <w:p w14:paraId="39ABA4BF"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Chăn nuôi</w:t>
      </w:r>
    </w:p>
    <w:p w14:paraId="08DBF94C"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Lâm nghiệp và thay đổi sử dụng đất</w:t>
      </w:r>
    </w:p>
    <w:p w14:paraId="79F79E24"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Trồng trọt</w:t>
      </w:r>
    </w:p>
    <w:p w14:paraId="2B7ABA80"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Tiêu thụ năng lượng trong nông nghiệp, lâm nghiệp và thủy sản</w:t>
      </w:r>
    </w:p>
    <w:p w14:paraId="1E5177E0"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Các nguồn phát thải khác trong nông nghiệp</w:t>
      </w:r>
    </w:p>
    <w:p w14:paraId="367088C5"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b/>
          <w:bCs/>
          <w:color w:val="000000"/>
          <w:sz w:val="28"/>
          <w:szCs w:val="28"/>
          <w:lang w:val="en-US"/>
        </w:rPr>
      </w:pPr>
      <w:r w:rsidRPr="006545AD">
        <w:rPr>
          <w:rFonts w:ascii="Times New Roman" w:eastAsia="Times New Roman" w:hAnsi="Times New Roman" w:cs="Times New Roman"/>
          <w:b/>
          <w:bCs/>
          <w:color w:val="000000"/>
          <w:sz w:val="28"/>
          <w:szCs w:val="28"/>
          <w:lang w:val="en-US"/>
        </w:rPr>
        <w:tab/>
        <w:t>Chất thải</w:t>
      </w:r>
    </w:p>
    <w:p w14:paraId="163BB07B"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Bãi chôn lấp chất thải rắn</w:t>
      </w:r>
    </w:p>
    <w:p w14:paraId="0AEE1A08"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Xử lý chất thải rắn bằng phương pháp sinh học</w:t>
      </w:r>
    </w:p>
    <w:p w14:paraId="6B6952FC"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Thiêu đốt và đốt lộ thiên chất thải</w:t>
      </w:r>
    </w:p>
    <w:p w14:paraId="42A18296" w14:textId="77777777" w:rsidR="0040586B" w:rsidRPr="006545AD" w:rsidRDefault="0040586B" w:rsidP="0040586B">
      <w:pPr>
        <w:tabs>
          <w:tab w:val="left" w:pos="993"/>
        </w:tabs>
        <w:spacing w:before="60" w:after="60" w:line="340" w:lineRule="exact"/>
        <w:rPr>
          <w:rFonts w:ascii="Times New Roman" w:eastAsia="Times New Roman" w:hAnsi="Times New Roman" w:cs="Times New Roman"/>
          <w:color w:val="000000"/>
          <w:sz w:val="28"/>
          <w:szCs w:val="28"/>
          <w:lang w:val="en-US"/>
        </w:rPr>
      </w:pPr>
      <w:r w:rsidRPr="006545AD">
        <w:rPr>
          <w:rFonts w:ascii="Times New Roman" w:eastAsia="Times New Roman" w:hAnsi="Times New Roman" w:cs="Times New Roman"/>
          <w:color w:val="000000"/>
          <w:sz w:val="28"/>
          <w:szCs w:val="28"/>
          <w:lang w:val="en-US"/>
        </w:rPr>
        <w:tab/>
        <w:t>+ Xử lý và xả thải nước thải</w:t>
      </w:r>
    </w:p>
    <w:p w14:paraId="491B83D7" w14:textId="77777777" w:rsidR="0040586B" w:rsidRPr="006545AD" w:rsidRDefault="0040586B" w:rsidP="0040586B">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2 năm.</w:t>
      </w:r>
    </w:p>
    <w:p w14:paraId="3F9DB6A8" w14:textId="77777777" w:rsidR="0040586B" w:rsidRPr="006545AD" w:rsidRDefault="0040586B" w:rsidP="0040586B">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207525EC" w14:textId="77777777" w:rsidR="0040586B" w:rsidRPr="006545AD" w:rsidRDefault="0040586B" w:rsidP="0040586B">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t>- Dữ liệu hành chính (từ số liệu kiểm kê khí nhà kính theo Quyết định 01/2022/QĐ-TTg)</w:t>
      </w:r>
    </w:p>
    <w:p w14:paraId="493C8EDF" w14:textId="77777777" w:rsidR="0040586B" w:rsidRPr="006545AD" w:rsidRDefault="0040586B" w:rsidP="0040586B">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3341ED6F" w14:textId="77777777" w:rsidR="0040586B" w:rsidRPr="006545AD" w:rsidRDefault="0040586B" w:rsidP="0040586B">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Chủ trì: Bộ Tài nguyên và Môi trường;</w:t>
      </w:r>
    </w:p>
    <w:p w14:paraId="40338344" w14:textId="77777777" w:rsidR="00EE2829" w:rsidRDefault="0040586B" w:rsidP="00F511B4">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Công thương, Bộ Xây dựng, Bộ Giao thông vận tải, Bộ Nông nghiệp và Phát triển nông thôn.</w:t>
      </w:r>
    </w:p>
    <w:p w14:paraId="0ECF002F" w14:textId="133F8C7E" w:rsidR="00F408D5" w:rsidRPr="006545AD" w:rsidRDefault="006E7C70" w:rsidP="00F511B4">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Mục tiêu 2: Xanh hóa các ngành kinh tế</w:t>
      </w:r>
    </w:p>
    <w:p w14:paraId="560B1C32" w14:textId="65376727" w:rsidR="000461CF" w:rsidRPr="006545AD" w:rsidRDefault="000461CF"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I. Lĩnh vực năng lượng</w:t>
      </w:r>
    </w:p>
    <w:p w14:paraId="3646BB8E" w14:textId="33FE41B6" w:rsidR="00F408D5" w:rsidRPr="006545AD" w:rsidRDefault="00750749"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2.1. </w:t>
      </w:r>
      <w:r w:rsidR="006E7C70" w:rsidRPr="006545AD">
        <w:rPr>
          <w:rFonts w:ascii="Times New Roman" w:eastAsia="Times New Roman" w:hAnsi="Times New Roman" w:cs="Times New Roman"/>
          <w:b/>
          <w:sz w:val="28"/>
          <w:szCs w:val="28"/>
        </w:rPr>
        <w:t>Tổng cung năng lượng sơ cấp/GDP</w:t>
      </w:r>
    </w:p>
    <w:p w14:paraId="5295FE11" w14:textId="1EE83C53"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 Khái niệm, phương pháp tính</w:t>
      </w:r>
    </w:p>
    <w:p w14:paraId="5F40B6F4" w14:textId="2F49150D"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cung năng lượng sơ cấp/GDP: là chỉ tiêu phản ánh mối quan hệ giữa việc sử dụng năng lượng và GDP. Chỉ tiêu cho biết để tạo ra một đơn vị tổng sản phẩm trong nước (GDP) cần sử dụng bao nhiêu đơn vị năng lượng.</w:t>
      </w:r>
    </w:p>
    <w:p w14:paraId="50B7943E" w14:textId="1A97786E" w:rsidR="00F408D5" w:rsidRPr="006545AD" w:rsidRDefault="006E7C70" w:rsidP="00923EF8">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pacing w:val="-4"/>
          <w:sz w:val="28"/>
          <w:szCs w:val="28"/>
        </w:rPr>
        <w:t xml:space="preserve">Năng lượng sơ cấp là năng lượng được khai thác hoặc thu được trực tiếp từ thiên nhiên, chưa qua quá trình chuyển đổi bao gồm nhiên liệu hóa thạch (như than đá, đá </w:t>
      </w:r>
      <w:r w:rsidRPr="006545AD">
        <w:rPr>
          <w:rFonts w:ascii="Times New Roman" w:eastAsia="Times New Roman" w:hAnsi="Times New Roman" w:cs="Times New Roman"/>
          <w:sz w:val="28"/>
          <w:szCs w:val="28"/>
        </w:rPr>
        <w:t>phiến dầu, than bùn và các sản phẩm than bùn, dầu thô và khí tự nhiên), nhiên liệu sinh học, rác thải, năng lượng hạt nhân, thủy điện, địa nhiệt, năng lượng  mặt trời, năng lượng gió và nhiệt từ các máy bơm nhiệt thu được từ môi trường xung quanh.</w:t>
      </w:r>
    </w:p>
    <w:p w14:paraId="2DBEF40D" w14:textId="56FFC8FC" w:rsidR="00F408D5"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cung năng lượng sơ cấp (Total Primary Energy Supply </w:t>
      </w:r>
      <w:r w:rsidR="00640BA2" w:rsidRPr="006545AD">
        <w:rPr>
          <w:rFonts w:ascii="Times New Roman" w:eastAsia="Times New Roman" w:hAnsi="Times New Roman" w:cs="Times New Roman"/>
          <w:sz w:val="28"/>
          <w:szCs w:val="28"/>
          <w:lang w:val="vi-VN"/>
        </w:rPr>
        <w:t>-</w:t>
      </w:r>
      <w:r w:rsidR="00640BA2"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TPES) là tổng lượng năng lượng mà một quốc gia sử dụng trong một thời kỳ nhất định và được tính như sau:</w:t>
      </w:r>
    </w:p>
    <w:p w14:paraId="12E45A41" w14:textId="77777777" w:rsidR="009E1776" w:rsidRDefault="009E1776" w:rsidP="00923EF8">
      <w:pPr>
        <w:spacing w:before="60" w:after="60" w:line="360" w:lineRule="exact"/>
        <w:ind w:firstLine="720"/>
        <w:jc w:val="both"/>
        <w:rPr>
          <w:rFonts w:ascii="Times New Roman" w:eastAsia="Times New Roman" w:hAnsi="Times New Roman" w:cs="Times New Roman"/>
          <w:sz w:val="28"/>
          <w:szCs w:val="28"/>
        </w:rPr>
      </w:pPr>
    </w:p>
    <w:p w14:paraId="5D673419" w14:textId="77777777" w:rsidR="009E1776" w:rsidRDefault="009E1776" w:rsidP="00923EF8">
      <w:pPr>
        <w:spacing w:before="60" w:after="60" w:line="360" w:lineRule="exact"/>
        <w:ind w:firstLine="720"/>
        <w:jc w:val="both"/>
        <w:rPr>
          <w:rFonts w:ascii="Times New Roman" w:eastAsia="Times New Roman" w:hAnsi="Times New Roman" w:cs="Times New Roman"/>
          <w:sz w:val="28"/>
          <w:szCs w:val="28"/>
        </w:rPr>
      </w:pPr>
    </w:p>
    <w:p w14:paraId="5B467DAB" w14:textId="77777777" w:rsidR="009E1776" w:rsidRPr="006545AD" w:rsidRDefault="009E1776" w:rsidP="00923EF8">
      <w:pPr>
        <w:spacing w:before="60" w:after="60" w:line="360" w:lineRule="exact"/>
        <w:ind w:firstLine="720"/>
        <w:jc w:val="both"/>
        <w:rPr>
          <w:rFonts w:ascii="Times New Roman" w:eastAsia="Times New Roman" w:hAnsi="Times New Roman" w:cs="Times New Roman"/>
          <w:sz w:val="28"/>
          <w:szCs w:val="28"/>
        </w:rPr>
      </w:pPr>
    </w:p>
    <w:p w14:paraId="11A57549" w14:textId="5E374DE7" w:rsidR="00992BD9"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285"/>
        <w:gridCol w:w="1190"/>
        <w:gridCol w:w="450"/>
        <w:gridCol w:w="1212"/>
        <w:gridCol w:w="301"/>
        <w:gridCol w:w="1354"/>
        <w:gridCol w:w="301"/>
        <w:gridCol w:w="1354"/>
        <w:gridCol w:w="426"/>
        <w:gridCol w:w="1236"/>
      </w:tblGrid>
      <w:tr w:rsidR="00992BD9" w:rsidRPr="006545AD" w14:paraId="285324A5" w14:textId="5644DC56" w:rsidTr="00992BD9">
        <w:tc>
          <w:tcPr>
            <w:tcW w:w="531" w:type="pct"/>
            <w:vAlign w:val="center"/>
          </w:tcPr>
          <w:p w14:paraId="13912DD7" w14:textId="47C0EF5D" w:rsidR="00992BD9" w:rsidRPr="006545AD" w:rsidRDefault="00992BD9" w:rsidP="00992BD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cung năng lượng sơ cấp</w:t>
            </w:r>
          </w:p>
        </w:tc>
        <w:tc>
          <w:tcPr>
            <w:tcW w:w="157" w:type="pct"/>
            <w:vAlign w:val="center"/>
          </w:tcPr>
          <w:p w14:paraId="43984D0C" w14:textId="05B896E5" w:rsidR="00992BD9" w:rsidRPr="006545AD" w:rsidRDefault="00992BD9"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656" w:type="pct"/>
            <w:vAlign w:val="center"/>
          </w:tcPr>
          <w:p w14:paraId="44D0AB30" w14:textId="25DA7C25" w:rsidR="00992BD9" w:rsidRPr="006545AD" w:rsidRDefault="00992BD9" w:rsidP="00992BD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Sản xuất năng lượng sơ cấp</w:t>
            </w:r>
          </w:p>
        </w:tc>
        <w:tc>
          <w:tcPr>
            <w:tcW w:w="248" w:type="pct"/>
            <w:vAlign w:val="center"/>
          </w:tcPr>
          <w:p w14:paraId="14442483" w14:textId="35CD497A" w:rsidR="00992BD9" w:rsidRPr="006545AD" w:rsidRDefault="00992BD9"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668" w:type="pct"/>
            <w:vAlign w:val="center"/>
          </w:tcPr>
          <w:p w14:paraId="1539616D" w14:textId="55C720FE" w:rsidR="00992BD9" w:rsidRPr="006545AD" w:rsidRDefault="00992BD9" w:rsidP="00992BD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Nhập khẩu năng lượng (gồm năng lượng sơ cấp và chuyển đổi)</w:t>
            </w:r>
          </w:p>
        </w:tc>
        <w:tc>
          <w:tcPr>
            <w:tcW w:w="166" w:type="pct"/>
            <w:vAlign w:val="center"/>
          </w:tcPr>
          <w:p w14:paraId="555B500A" w14:textId="47CB6621" w:rsidR="00992BD9" w:rsidRPr="006545AD" w:rsidRDefault="00992BD9"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746" w:type="pct"/>
            <w:vAlign w:val="center"/>
          </w:tcPr>
          <w:p w14:paraId="2B1A6760" w14:textId="376D4FB3" w:rsidR="00992BD9" w:rsidRPr="006545AD" w:rsidRDefault="00992BD9" w:rsidP="00992BD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Xuất khẩu năng lượng (gồm năng lượng sơ cấp và chuyển đổi)</w:t>
            </w:r>
          </w:p>
        </w:tc>
        <w:tc>
          <w:tcPr>
            <w:tcW w:w="166" w:type="pct"/>
            <w:vAlign w:val="center"/>
          </w:tcPr>
          <w:p w14:paraId="2EFC9C40" w14:textId="015A6676" w:rsidR="00992BD9" w:rsidRPr="006545AD" w:rsidRDefault="00992BD9"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746" w:type="pct"/>
            <w:vAlign w:val="center"/>
          </w:tcPr>
          <w:p w14:paraId="2C031CF1" w14:textId="4A3CBE8C" w:rsidR="00992BD9" w:rsidRPr="006545AD" w:rsidRDefault="00992BD9" w:rsidP="00992BD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Dự trữ hàng hải, hàng không quốc tế (gồm năng lượng sơ cấp và chuyển đổi)</w:t>
            </w:r>
          </w:p>
        </w:tc>
        <w:tc>
          <w:tcPr>
            <w:tcW w:w="235" w:type="pct"/>
            <w:vAlign w:val="center"/>
          </w:tcPr>
          <w:p w14:paraId="0E7A0D4A" w14:textId="6181A3F2" w:rsidR="00992BD9" w:rsidRPr="006545AD" w:rsidRDefault="00992BD9"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681" w:type="pct"/>
            <w:vAlign w:val="center"/>
          </w:tcPr>
          <w:p w14:paraId="7B5C8B26" w14:textId="29CDC680" w:rsidR="00992BD9" w:rsidRPr="006545AD" w:rsidRDefault="00992BD9" w:rsidP="00992BD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Chênh lệch tồn kho (gồm năng lượng sơ cấp và chuyển đổi)</w:t>
            </w:r>
          </w:p>
        </w:tc>
      </w:tr>
    </w:tbl>
    <w:p w14:paraId="18B1A0E4" w14:textId="004FAA20" w:rsidR="00F408D5" w:rsidRPr="006545AD" w:rsidRDefault="006E7C70" w:rsidP="005725BC">
      <w:pPr>
        <w:spacing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ab/>
      </w:r>
    </w:p>
    <w:tbl>
      <w:tblPr>
        <w:tblStyle w:val="24"/>
        <w:tblW w:w="5000" w:type="pct"/>
        <w:tblLook w:val="0600" w:firstRow="0" w:lastRow="0" w:firstColumn="0" w:lastColumn="0" w:noHBand="1" w:noVBand="1"/>
      </w:tblPr>
      <w:tblGrid>
        <w:gridCol w:w="4124"/>
        <w:gridCol w:w="688"/>
        <w:gridCol w:w="4260"/>
      </w:tblGrid>
      <w:tr w:rsidR="00992BD9" w:rsidRPr="006545AD" w14:paraId="7F153AE6" w14:textId="04FA3A3F" w:rsidTr="005725BC">
        <w:trPr>
          <w:trHeight w:val="493"/>
        </w:trPr>
        <w:tc>
          <w:tcPr>
            <w:tcW w:w="2273" w:type="pct"/>
            <w:vMerge w:val="restart"/>
            <w:shd w:val="clear" w:color="auto" w:fill="auto"/>
            <w:tcMar>
              <w:top w:w="100" w:type="dxa"/>
              <w:left w:w="20" w:type="dxa"/>
              <w:bottom w:w="100" w:type="dxa"/>
              <w:right w:w="20" w:type="dxa"/>
            </w:tcMar>
            <w:vAlign w:val="center"/>
          </w:tcPr>
          <w:p w14:paraId="71760139" w14:textId="701A7FAF" w:rsidR="00992BD9" w:rsidRPr="006545AD" w:rsidRDefault="00992BD9"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cung năng lượng sơ cấp/GDP</w:t>
            </w:r>
          </w:p>
        </w:tc>
        <w:tc>
          <w:tcPr>
            <w:tcW w:w="379" w:type="pct"/>
            <w:vMerge w:val="restart"/>
            <w:shd w:val="clear" w:color="auto" w:fill="auto"/>
            <w:tcMar>
              <w:top w:w="100" w:type="dxa"/>
              <w:left w:w="20" w:type="dxa"/>
              <w:bottom w:w="100" w:type="dxa"/>
              <w:right w:w="20" w:type="dxa"/>
            </w:tcMar>
            <w:vAlign w:val="center"/>
          </w:tcPr>
          <w:p w14:paraId="5719E2F7" w14:textId="1CEFDC61" w:rsidR="00992BD9" w:rsidRPr="006545AD" w:rsidRDefault="00992BD9"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348" w:type="pct"/>
            <w:tcBorders>
              <w:bottom w:val="single" w:sz="4" w:space="0" w:color="auto"/>
            </w:tcBorders>
            <w:shd w:val="clear" w:color="auto" w:fill="auto"/>
            <w:tcMar>
              <w:top w:w="100" w:type="dxa"/>
              <w:left w:w="20" w:type="dxa"/>
              <w:bottom w:w="100" w:type="dxa"/>
              <w:right w:w="20" w:type="dxa"/>
            </w:tcMar>
            <w:vAlign w:val="center"/>
          </w:tcPr>
          <w:p w14:paraId="1724EFEE" w14:textId="74553C61" w:rsidR="00992BD9" w:rsidRPr="006545AD" w:rsidRDefault="00992BD9"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cung năng lượng sơ cấp</w:t>
            </w:r>
          </w:p>
        </w:tc>
      </w:tr>
      <w:tr w:rsidR="00992BD9" w:rsidRPr="006545AD" w14:paraId="5D2B0079" w14:textId="6AA92B94" w:rsidTr="005725BC">
        <w:trPr>
          <w:trHeight w:val="435"/>
        </w:trPr>
        <w:tc>
          <w:tcPr>
            <w:tcW w:w="2273" w:type="pct"/>
            <w:vMerge/>
            <w:shd w:val="clear" w:color="auto" w:fill="auto"/>
            <w:tcMar>
              <w:top w:w="100" w:type="dxa"/>
              <w:left w:w="100" w:type="dxa"/>
              <w:bottom w:w="100" w:type="dxa"/>
              <w:right w:w="100" w:type="dxa"/>
            </w:tcMar>
            <w:vAlign w:val="center"/>
          </w:tcPr>
          <w:p w14:paraId="6C8187A8" w14:textId="0E9930AC" w:rsidR="00992BD9" w:rsidRPr="006545AD" w:rsidRDefault="00992BD9" w:rsidP="00923EF8">
            <w:pPr>
              <w:spacing w:before="60" w:after="60" w:line="360" w:lineRule="exact"/>
              <w:jc w:val="both"/>
              <w:rPr>
                <w:rFonts w:ascii="Times New Roman" w:eastAsia="Times New Roman" w:hAnsi="Times New Roman" w:cs="Times New Roman"/>
                <w:b/>
                <w:sz w:val="28"/>
                <w:szCs w:val="28"/>
              </w:rPr>
            </w:pPr>
          </w:p>
        </w:tc>
        <w:tc>
          <w:tcPr>
            <w:tcW w:w="379" w:type="pct"/>
            <w:vMerge/>
            <w:shd w:val="clear" w:color="auto" w:fill="auto"/>
            <w:tcMar>
              <w:top w:w="100" w:type="dxa"/>
              <w:left w:w="100" w:type="dxa"/>
              <w:bottom w:w="100" w:type="dxa"/>
              <w:right w:w="100" w:type="dxa"/>
            </w:tcMar>
            <w:vAlign w:val="center"/>
          </w:tcPr>
          <w:p w14:paraId="403E2CD8" w14:textId="25ECE94A" w:rsidR="00992BD9" w:rsidRPr="006545AD" w:rsidRDefault="00992BD9" w:rsidP="00923EF8">
            <w:pPr>
              <w:spacing w:before="60" w:after="60" w:line="360" w:lineRule="exact"/>
              <w:jc w:val="both"/>
              <w:rPr>
                <w:rFonts w:ascii="Times New Roman" w:eastAsia="Times New Roman" w:hAnsi="Times New Roman" w:cs="Times New Roman"/>
                <w:b/>
                <w:sz w:val="28"/>
                <w:szCs w:val="28"/>
              </w:rPr>
            </w:pPr>
          </w:p>
        </w:tc>
        <w:tc>
          <w:tcPr>
            <w:tcW w:w="2348" w:type="pct"/>
            <w:tcBorders>
              <w:top w:val="single" w:sz="4" w:space="0" w:color="auto"/>
            </w:tcBorders>
            <w:shd w:val="clear" w:color="auto" w:fill="auto"/>
            <w:tcMar>
              <w:top w:w="100" w:type="dxa"/>
              <w:left w:w="20" w:type="dxa"/>
              <w:bottom w:w="100" w:type="dxa"/>
              <w:right w:w="20" w:type="dxa"/>
            </w:tcMar>
            <w:vAlign w:val="center"/>
          </w:tcPr>
          <w:p w14:paraId="2C4B3B34" w14:textId="01A32403" w:rsidR="00992BD9" w:rsidRPr="006545AD" w:rsidRDefault="00992BD9"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GDP</w:t>
            </w:r>
          </w:p>
        </w:tc>
      </w:tr>
    </w:tbl>
    <w:p w14:paraId="55BDFFD7" w14:textId="651CE70D"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cung năng lượng sơ cấp được tính bằng đơn vị tấn dầu tương đương (TOE); GDP được tính theo giá so sánh.</w:t>
      </w:r>
    </w:p>
    <w:p w14:paraId="750CCBCB" w14:textId="38203D4B"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06F33225" w14:textId="63C7C960"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năng lượng.</w:t>
      </w:r>
    </w:p>
    <w:p w14:paraId="3AD7719C" w14:textId="46511FF1"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762E420A" w14:textId="79E1EE7B"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67A867B3" w14:textId="312468EB"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429F37C9" w14:textId="2CFE77D3"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w:t>
      </w:r>
    </w:p>
    <w:p w14:paraId="712BFA3A" w14:textId="0C8A53CC"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 Dữ liệu hành chính.</w:t>
      </w:r>
    </w:p>
    <w:p w14:paraId="3F2B659A" w14:textId="28B0A63E"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48699D77" w14:textId="7543064A" w:rsidR="00875241"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Chủ trì: </w:t>
      </w:r>
      <w:r w:rsidR="00C651A7" w:rsidRPr="006545AD">
        <w:rPr>
          <w:rFonts w:ascii="Times New Roman" w:eastAsia="Times New Roman" w:hAnsi="Times New Roman" w:cs="Times New Roman"/>
          <w:sz w:val="28"/>
          <w:szCs w:val="28"/>
        </w:rPr>
        <w:t>Bộ Kế hoạch và Đầu tư (Tổng cục Thống kê)</w:t>
      </w:r>
      <w:r w:rsidRPr="006545AD">
        <w:rPr>
          <w:rFonts w:ascii="Times New Roman" w:eastAsia="Times New Roman" w:hAnsi="Times New Roman" w:cs="Times New Roman"/>
          <w:sz w:val="28"/>
          <w:szCs w:val="28"/>
        </w:rPr>
        <w:t>;</w:t>
      </w:r>
    </w:p>
    <w:p w14:paraId="493A6001" w14:textId="710166D2"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Phối hợp: Bộ Công Thương; Bộ Xây dựng; Bộ Giao thông </w:t>
      </w:r>
      <w:r w:rsidR="008A0E6C" w:rsidRPr="006545AD">
        <w:rPr>
          <w:rFonts w:ascii="Times New Roman" w:eastAsia="Times New Roman" w:hAnsi="Times New Roman" w:cs="Times New Roman"/>
          <w:sz w:val="28"/>
          <w:szCs w:val="28"/>
        </w:rPr>
        <w:t>v</w:t>
      </w:r>
      <w:r w:rsidRPr="006545AD">
        <w:rPr>
          <w:rFonts w:ascii="Times New Roman" w:eastAsia="Times New Roman" w:hAnsi="Times New Roman" w:cs="Times New Roman"/>
          <w:sz w:val="28"/>
          <w:szCs w:val="28"/>
        </w:rPr>
        <w:t>ận tải</w:t>
      </w:r>
      <w:r w:rsidR="00264255" w:rsidRPr="006545AD">
        <w:rPr>
          <w:rFonts w:ascii="Times New Roman" w:eastAsia="Times New Roman" w:hAnsi="Times New Roman" w:cs="Times New Roman"/>
          <w:sz w:val="28"/>
          <w:szCs w:val="28"/>
          <w:lang w:val="vi-VN"/>
        </w:rPr>
        <w:t>; Bộ</w:t>
      </w:r>
      <w:r w:rsidR="00264255" w:rsidRPr="006545AD">
        <w:rPr>
          <w:rFonts w:ascii="Times New Roman" w:eastAsia="Times New Roman" w:hAnsi="Times New Roman" w:cs="Times New Roman"/>
          <w:sz w:val="28"/>
          <w:szCs w:val="28"/>
        </w:rPr>
        <w:t xml:space="preserve"> </w:t>
      </w:r>
      <w:r w:rsidR="00574BDA" w:rsidRPr="006545AD">
        <w:rPr>
          <w:rFonts w:ascii="Times New Roman" w:eastAsia="Times New Roman" w:hAnsi="Times New Roman" w:cs="Times New Roman"/>
          <w:sz w:val="28"/>
          <w:szCs w:val="28"/>
        </w:rPr>
        <w:t>Nông nghiệp và Phát triển nông thôn</w:t>
      </w:r>
      <w:r w:rsidRPr="006545AD">
        <w:rPr>
          <w:rFonts w:ascii="Times New Roman" w:eastAsia="Times New Roman" w:hAnsi="Times New Roman" w:cs="Times New Roman"/>
          <w:sz w:val="28"/>
          <w:szCs w:val="28"/>
        </w:rPr>
        <w:t>.</w:t>
      </w:r>
    </w:p>
    <w:p w14:paraId="5F81D5B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2.2</w:t>
      </w:r>
      <w:r w:rsidR="00D473D2" w:rsidRPr="006545AD">
        <w:rPr>
          <w:rFonts w:ascii="Times New Roman" w:eastAsia="Times New Roman" w:hAnsi="Times New Roman" w:cs="Times New Roman"/>
          <w:b/>
          <w:sz w:val="28"/>
          <w:szCs w:val="28"/>
        </w:rPr>
        <w:t>. Tiêu</w:t>
      </w:r>
      <w:r w:rsidRPr="006545AD">
        <w:rPr>
          <w:rFonts w:ascii="Times New Roman" w:eastAsia="Times New Roman" w:hAnsi="Times New Roman" w:cs="Times New Roman"/>
          <w:b/>
          <w:sz w:val="28"/>
          <w:szCs w:val="28"/>
        </w:rPr>
        <w:t xml:space="preserve"> dùng năng lượng cuối cùng/GDP</w:t>
      </w:r>
    </w:p>
    <w:p w14:paraId="12F08EA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 Khái niệm, phương pháp tính</w:t>
      </w:r>
    </w:p>
    <w:p w14:paraId="319E110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Tiêu dùng năng lượng cuối cùng/GDP: là chỉ tiêu phản ánh mối quan hệ giữa việc sử dụng năng lượng cuối cùng và GDP. Chỉ tiêu cho biết để tạo ra một đơn vị tổng sản phẩm trong nước (GDP) thì cần sử dụng bao nhiêu đơn vị năng lượng cuối cùng.</w:t>
      </w:r>
    </w:p>
    <w:p w14:paraId="17FF603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pacing w:val="-4"/>
          <w:sz w:val="28"/>
          <w:szCs w:val="28"/>
        </w:rPr>
        <w:lastRenderedPageBreak/>
        <w:t>Năng lượng cuối cùng là năng lượng sử dụng cho sản xuất và tiêu dùng cuối cùng nhưng không bao gồm cho mục đích chuyển đổi thành dạng năng lượng khác.</w:t>
      </w:r>
    </w:p>
    <w:p w14:paraId="3B1B7D7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r w:rsidRPr="006545AD">
        <w:rPr>
          <w:rFonts w:ascii="Times New Roman" w:eastAsia="Times New Roman" w:hAnsi="Times New Roman" w:cs="Times New Roman"/>
          <w:sz w:val="28"/>
          <w:szCs w:val="28"/>
        </w:rPr>
        <w:tab/>
      </w:r>
    </w:p>
    <w:tbl>
      <w:tblPr>
        <w:tblStyle w:val="23"/>
        <w:tblW w:w="5000" w:type="pct"/>
        <w:jc w:val="center"/>
        <w:tblBorders>
          <w:top w:val="nil"/>
          <w:left w:val="nil"/>
          <w:bottom w:val="nil"/>
          <w:right w:val="nil"/>
          <w:insideH w:val="nil"/>
          <w:insideV w:val="nil"/>
        </w:tblBorders>
        <w:tblLook w:val="0600" w:firstRow="0" w:lastRow="0" w:firstColumn="0" w:lastColumn="0" w:noHBand="1" w:noVBand="1"/>
      </w:tblPr>
      <w:tblGrid>
        <w:gridCol w:w="3451"/>
        <w:gridCol w:w="871"/>
        <w:gridCol w:w="4750"/>
      </w:tblGrid>
      <w:tr w:rsidR="00F408D5" w:rsidRPr="006545AD" w14:paraId="7F2AF96E" w14:textId="77777777" w:rsidTr="005725BC">
        <w:trPr>
          <w:trHeight w:val="395"/>
          <w:jc w:val="center"/>
        </w:trPr>
        <w:tc>
          <w:tcPr>
            <w:tcW w:w="1902" w:type="pct"/>
            <w:vMerge w:val="restart"/>
            <w:tcBorders>
              <w:top w:val="nil"/>
              <w:left w:val="nil"/>
              <w:bottom w:val="nil"/>
              <w:right w:val="nil"/>
            </w:tcBorders>
            <w:tcMar>
              <w:top w:w="100" w:type="dxa"/>
              <w:left w:w="20" w:type="dxa"/>
              <w:bottom w:w="100" w:type="dxa"/>
              <w:right w:w="20" w:type="dxa"/>
            </w:tcMar>
            <w:vAlign w:val="center"/>
          </w:tcPr>
          <w:p w14:paraId="28AA1E3F"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Tiêu dùng năng lượng cuối cùng/GDP</w:t>
            </w:r>
          </w:p>
        </w:tc>
        <w:tc>
          <w:tcPr>
            <w:tcW w:w="480" w:type="pct"/>
            <w:vMerge w:val="restart"/>
            <w:tcBorders>
              <w:top w:val="nil"/>
              <w:left w:val="nil"/>
              <w:bottom w:val="nil"/>
              <w:right w:val="nil"/>
            </w:tcBorders>
            <w:tcMar>
              <w:top w:w="100" w:type="dxa"/>
              <w:left w:w="20" w:type="dxa"/>
              <w:bottom w:w="100" w:type="dxa"/>
              <w:right w:w="20" w:type="dxa"/>
            </w:tcMar>
            <w:vAlign w:val="center"/>
          </w:tcPr>
          <w:p w14:paraId="215717B4"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618" w:type="pct"/>
            <w:tcBorders>
              <w:top w:val="nil"/>
              <w:left w:val="nil"/>
              <w:bottom w:val="single" w:sz="2" w:space="0" w:color="auto"/>
              <w:right w:val="nil"/>
            </w:tcBorders>
            <w:tcMar>
              <w:top w:w="100" w:type="dxa"/>
              <w:left w:w="20" w:type="dxa"/>
              <w:bottom w:w="100" w:type="dxa"/>
              <w:right w:w="20" w:type="dxa"/>
            </w:tcMar>
            <w:vAlign w:val="center"/>
          </w:tcPr>
          <w:p w14:paraId="25350C70"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tiêu dùng năng lượng cuối cùng</w:t>
            </w:r>
          </w:p>
        </w:tc>
      </w:tr>
      <w:tr w:rsidR="00F408D5" w:rsidRPr="006545AD" w14:paraId="150A0A9B" w14:textId="77777777" w:rsidTr="005725BC">
        <w:trPr>
          <w:trHeight w:val="293"/>
          <w:jc w:val="center"/>
        </w:trPr>
        <w:tc>
          <w:tcPr>
            <w:tcW w:w="1902" w:type="pct"/>
            <w:vMerge/>
            <w:tcBorders>
              <w:bottom w:val="nil"/>
              <w:right w:val="nil"/>
            </w:tcBorders>
            <w:shd w:val="clear" w:color="auto" w:fill="auto"/>
            <w:tcMar>
              <w:top w:w="100" w:type="dxa"/>
              <w:left w:w="100" w:type="dxa"/>
              <w:bottom w:w="100" w:type="dxa"/>
              <w:right w:w="100" w:type="dxa"/>
            </w:tcMar>
            <w:vAlign w:val="center"/>
          </w:tcPr>
          <w:p w14:paraId="2EAFDB83" w14:textId="77777777" w:rsidR="00F408D5" w:rsidRPr="006545AD" w:rsidRDefault="00F408D5" w:rsidP="00923EF8">
            <w:pPr>
              <w:spacing w:before="60" w:after="60" w:line="360" w:lineRule="exact"/>
              <w:ind w:firstLine="720"/>
              <w:jc w:val="both"/>
              <w:rPr>
                <w:rFonts w:ascii="Times New Roman" w:eastAsia="Times New Roman" w:hAnsi="Times New Roman" w:cs="Times New Roman"/>
                <w:sz w:val="28"/>
                <w:szCs w:val="28"/>
              </w:rPr>
            </w:pPr>
          </w:p>
        </w:tc>
        <w:tc>
          <w:tcPr>
            <w:tcW w:w="480" w:type="pct"/>
            <w:vMerge/>
            <w:tcBorders>
              <w:bottom w:val="nil"/>
              <w:right w:val="nil"/>
            </w:tcBorders>
            <w:shd w:val="clear" w:color="auto" w:fill="auto"/>
            <w:tcMar>
              <w:top w:w="100" w:type="dxa"/>
              <w:left w:w="100" w:type="dxa"/>
              <w:bottom w:w="100" w:type="dxa"/>
              <w:right w:w="100" w:type="dxa"/>
            </w:tcMar>
            <w:vAlign w:val="center"/>
          </w:tcPr>
          <w:p w14:paraId="2B84EF75" w14:textId="77777777" w:rsidR="00F408D5" w:rsidRPr="006545AD" w:rsidRDefault="00F408D5" w:rsidP="00923EF8">
            <w:pPr>
              <w:spacing w:before="60" w:after="60" w:line="360" w:lineRule="exact"/>
              <w:ind w:firstLine="720"/>
              <w:jc w:val="both"/>
              <w:rPr>
                <w:rFonts w:ascii="Times New Roman" w:eastAsia="Times New Roman" w:hAnsi="Times New Roman" w:cs="Times New Roman"/>
                <w:sz w:val="28"/>
                <w:szCs w:val="28"/>
              </w:rPr>
            </w:pPr>
          </w:p>
        </w:tc>
        <w:tc>
          <w:tcPr>
            <w:tcW w:w="2618" w:type="pct"/>
            <w:tcBorders>
              <w:top w:val="single" w:sz="2" w:space="0" w:color="auto"/>
              <w:left w:val="nil"/>
              <w:bottom w:val="nil"/>
              <w:right w:val="nil"/>
            </w:tcBorders>
            <w:shd w:val="clear" w:color="auto" w:fill="auto"/>
            <w:tcMar>
              <w:top w:w="100" w:type="dxa"/>
              <w:left w:w="20" w:type="dxa"/>
              <w:bottom w:w="100" w:type="dxa"/>
              <w:right w:w="20" w:type="dxa"/>
            </w:tcMar>
            <w:vAlign w:val="center"/>
          </w:tcPr>
          <w:p w14:paraId="25E31E31"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GDP</w:t>
            </w:r>
          </w:p>
        </w:tc>
      </w:tr>
    </w:tbl>
    <w:p w14:paraId="3D4596C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Năng lượng cuối cùng được tính bằng đơn vị tấn dầu tương đương (TOE); GDP được tính theo giá so sánh.</w:t>
      </w:r>
    </w:p>
    <w:p w14:paraId="31B537A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0254E8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Nhóm ngành kinh tế;</w:t>
      </w:r>
    </w:p>
    <w:p w14:paraId="0242356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Mục đích sử dụng (sản xuất, tiêu dùng);</w:t>
      </w:r>
    </w:p>
    <w:p w14:paraId="4106CE1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năng lượng.</w:t>
      </w:r>
    </w:p>
    <w:p w14:paraId="3D1DFC6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4268483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35A84A0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142D417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w:t>
      </w:r>
    </w:p>
    <w:p w14:paraId="2735584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Dữ liệu hành chính.</w:t>
      </w:r>
    </w:p>
    <w:p w14:paraId="4488AB2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4A19FD2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Chủ trì: </w:t>
      </w:r>
      <w:r w:rsidR="00C651A7" w:rsidRPr="006545AD">
        <w:rPr>
          <w:rFonts w:ascii="Times New Roman" w:eastAsia="Times New Roman" w:hAnsi="Times New Roman" w:cs="Times New Roman"/>
          <w:sz w:val="28"/>
          <w:szCs w:val="28"/>
        </w:rPr>
        <w:t>Bộ Kế hoạch và Đầu tư (Tổng cục Thống kê)</w:t>
      </w:r>
      <w:r w:rsidRPr="006545AD">
        <w:rPr>
          <w:rFonts w:ascii="Times New Roman" w:eastAsia="Times New Roman" w:hAnsi="Times New Roman" w:cs="Times New Roman"/>
          <w:sz w:val="28"/>
          <w:szCs w:val="28"/>
        </w:rPr>
        <w:t>;</w:t>
      </w:r>
    </w:p>
    <w:p w14:paraId="6212D900" w14:textId="657864D0"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Phối hợp: Bộ Công Thương; Bộ Xây dựng; Bộ Giao thông </w:t>
      </w:r>
      <w:r w:rsidR="008A0E6C" w:rsidRPr="006545AD">
        <w:rPr>
          <w:rFonts w:ascii="Times New Roman" w:eastAsia="Times New Roman" w:hAnsi="Times New Roman" w:cs="Times New Roman"/>
          <w:sz w:val="28"/>
          <w:szCs w:val="28"/>
        </w:rPr>
        <w:t>v</w:t>
      </w:r>
      <w:r w:rsidRPr="006545AD">
        <w:rPr>
          <w:rFonts w:ascii="Times New Roman" w:eastAsia="Times New Roman" w:hAnsi="Times New Roman" w:cs="Times New Roman"/>
          <w:sz w:val="28"/>
          <w:szCs w:val="28"/>
        </w:rPr>
        <w:t>ận tải</w:t>
      </w:r>
      <w:r w:rsidR="00B753F0" w:rsidRPr="006545AD">
        <w:rPr>
          <w:rFonts w:ascii="Times New Roman" w:eastAsia="Times New Roman" w:hAnsi="Times New Roman" w:cs="Times New Roman"/>
          <w:sz w:val="28"/>
          <w:szCs w:val="28"/>
          <w:lang w:val="vi-VN"/>
        </w:rPr>
        <w:t>;</w:t>
      </w:r>
      <w:r w:rsidR="00B753F0"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 xml:space="preserve">Bộ </w:t>
      </w:r>
      <w:r w:rsidR="00574BDA" w:rsidRPr="006545AD">
        <w:rPr>
          <w:rFonts w:ascii="Times New Roman" w:eastAsia="Times New Roman" w:hAnsi="Times New Roman" w:cs="Times New Roman"/>
          <w:sz w:val="28"/>
          <w:szCs w:val="28"/>
        </w:rPr>
        <w:t>Nông nghiệp và Phát triển nông thôn</w:t>
      </w:r>
      <w:r w:rsidRPr="006545AD">
        <w:rPr>
          <w:rFonts w:ascii="Times New Roman" w:eastAsia="Times New Roman" w:hAnsi="Times New Roman" w:cs="Times New Roman"/>
          <w:sz w:val="28"/>
          <w:szCs w:val="28"/>
        </w:rPr>
        <w:t>.</w:t>
      </w:r>
    </w:p>
    <w:p w14:paraId="081BC88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2.3</w:t>
      </w:r>
      <w:r w:rsidR="00836A4E" w:rsidRPr="006545AD">
        <w:rPr>
          <w:rFonts w:ascii="Times New Roman" w:eastAsia="Times New Roman" w:hAnsi="Times New Roman" w:cs="Times New Roman"/>
          <w:b/>
          <w:sz w:val="28"/>
          <w:szCs w:val="28"/>
        </w:rPr>
        <w:t>. Tỷ</w:t>
      </w:r>
      <w:r w:rsidRPr="006545AD">
        <w:rPr>
          <w:rFonts w:ascii="Times New Roman" w:eastAsia="Times New Roman" w:hAnsi="Times New Roman" w:cs="Times New Roman"/>
          <w:b/>
          <w:sz w:val="28"/>
          <w:szCs w:val="28"/>
        </w:rPr>
        <w:t xml:space="preserve"> trọng năng lượng tái tạo trong tổng cung năng lượng sơ cấp</w:t>
      </w:r>
    </w:p>
    <w:p w14:paraId="2CE9336C" w14:textId="77777777" w:rsidR="00F408D5" w:rsidRPr="006545AD" w:rsidRDefault="006E7C70" w:rsidP="005725BC">
      <w:pPr>
        <w:spacing w:before="8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 Khái niệm, phương pháp tính</w:t>
      </w:r>
    </w:p>
    <w:p w14:paraId="09666F2F" w14:textId="77777777" w:rsidR="00F408D5" w:rsidRPr="006545AD" w:rsidRDefault="006E7C70" w:rsidP="005725BC">
      <w:pPr>
        <w:spacing w:before="8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trọng năng lượng tái tạo trong tổng cung năng lượng sơ cấp là tỷ lệ phần trăm giữa năng lượng tái tạo so với tổng cung năng lượng sơ cấp.</w:t>
      </w:r>
    </w:p>
    <w:p w14:paraId="39C41359" w14:textId="418545E5" w:rsidR="00F408D5" w:rsidRPr="006545AD" w:rsidRDefault="006E7C70" w:rsidP="005725BC">
      <w:pPr>
        <w:spacing w:before="8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Năng lượng sơ cấp là năng lượng được khai thác hoặc thu được trực tiếp từ thiên nhiên, chưa qua quá trình chuyển đổi bao gồm nhiên liệu hóa thạch (như than đá, đá phiến dầu, than bùn và các sản phẩm than bùn, dầu thô và khí tự nhiên), nhiên liệu sinh học, rác thải, năng lượng hạt nhân, thủy điện, địa nhiệt, năng lượng  mặt trời, năng lượng gió và nhiệt từ các máy bơm nhiệt thu được từ môi trường xung quanh.</w:t>
      </w:r>
    </w:p>
    <w:p w14:paraId="32271CCB" w14:textId="56C07533" w:rsidR="00F408D5" w:rsidRPr="006545AD" w:rsidRDefault="006E7C70" w:rsidP="005725BC">
      <w:pPr>
        <w:spacing w:before="8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cung năng lượng sơ cấp (Total Primary Energy Supply </w:t>
      </w:r>
      <w:r w:rsidR="002A2A81" w:rsidRPr="006545AD">
        <w:rPr>
          <w:rFonts w:ascii="Times New Roman" w:eastAsia="Times New Roman" w:hAnsi="Times New Roman" w:cs="Times New Roman"/>
          <w:sz w:val="28"/>
          <w:szCs w:val="28"/>
          <w:lang w:val="vi-VN"/>
        </w:rPr>
        <w:t>-</w:t>
      </w:r>
      <w:r w:rsidR="002A2A81"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TPES) là tổng lượng năng lượng mà một quốc gia sử dụng trong một thời kỳ nhất định và được tính như sau:</w:t>
      </w:r>
    </w:p>
    <w:p w14:paraId="21885AF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p>
    <w:tbl>
      <w:tblPr>
        <w:tblStyle w:val="22"/>
        <w:tblW w:w="5000" w:type="pct"/>
        <w:jc w:val="center"/>
        <w:tblBorders>
          <w:top w:val="nil"/>
          <w:left w:val="nil"/>
          <w:bottom w:val="nil"/>
          <w:right w:val="nil"/>
          <w:insideH w:val="nil"/>
          <w:insideV w:val="nil"/>
        </w:tblBorders>
        <w:tblLook w:val="0600" w:firstRow="0" w:lastRow="0" w:firstColumn="0" w:lastColumn="0" w:noHBand="1" w:noVBand="1"/>
      </w:tblPr>
      <w:tblGrid>
        <w:gridCol w:w="1251"/>
        <w:gridCol w:w="320"/>
        <w:gridCol w:w="885"/>
        <w:gridCol w:w="320"/>
        <w:gridCol w:w="1144"/>
        <w:gridCol w:w="319"/>
        <w:gridCol w:w="1159"/>
        <w:gridCol w:w="319"/>
        <w:gridCol w:w="1510"/>
        <w:gridCol w:w="564"/>
        <w:gridCol w:w="1281"/>
      </w:tblGrid>
      <w:tr w:rsidR="00F408D5" w:rsidRPr="006545AD" w14:paraId="4E4F9FF9" w14:textId="77777777" w:rsidTr="00946878">
        <w:trPr>
          <w:trHeight w:val="2795"/>
          <w:jc w:val="center"/>
        </w:trPr>
        <w:tc>
          <w:tcPr>
            <w:tcW w:w="689" w:type="pct"/>
            <w:tcBorders>
              <w:top w:val="nil"/>
              <w:left w:val="nil"/>
              <w:bottom w:val="nil"/>
              <w:right w:val="nil"/>
            </w:tcBorders>
            <w:tcMar>
              <w:top w:w="100" w:type="dxa"/>
              <w:left w:w="20" w:type="dxa"/>
              <w:bottom w:w="100" w:type="dxa"/>
              <w:right w:w="20" w:type="dxa"/>
            </w:tcMar>
            <w:vAlign w:val="center"/>
          </w:tcPr>
          <w:p w14:paraId="07164039"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Tổng cung năng lượng sơ cấp</w:t>
            </w:r>
          </w:p>
        </w:tc>
        <w:tc>
          <w:tcPr>
            <w:tcW w:w="176" w:type="pct"/>
            <w:tcBorders>
              <w:top w:val="nil"/>
              <w:left w:val="nil"/>
              <w:bottom w:val="nil"/>
              <w:right w:val="nil"/>
            </w:tcBorders>
            <w:tcMar>
              <w:top w:w="100" w:type="dxa"/>
              <w:left w:w="20" w:type="dxa"/>
              <w:bottom w:w="100" w:type="dxa"/>
              <w:right w:w="20" w:type="dxa"/>
            </w:tcMar>
            <w:vAlign w:val="center"/>
          </w:tcPr>
          <w:p w14:paraId="7BAA8EAA"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87" w:type="pct"/>
            <w:tcBorders>
              <w:top w:val="nil"/>
              <w:left w:val="nil"/>
              <w:bottom w:val="nil"/>
              <w:right w:val="nil"/>
            </w:tcBorders>
            <w:tcMar>
              <w:top w:w="100" w:type="dxa"/>
              <w:left w:w="20" w:type="dxa"/>
              <w:bottom w:w="100" w:type="dxa"/>
              <w:right w:w="20" w:type="dxa"/>
            </w:tcMar>
            <w:vAlign w:val="center"/>
          </w:tcPr>
          <w:p w14:paraId="5930064B"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Sản xuất năng lượng sơ cấp</w:t>
            </w:r>
          </w:p>
        </w:tc>
        <w:tc>
          <w:tcPr>
            <w:tcW w:w="176" w:type="pct"/>
            <w:tcBorders>
              <w:top w:val="nil"/>
              <w:left w:val="nil"/>
              <w:bottom w:val="nil"/>
              <w:right w:val="nil"/>
            </w:tcBorders>
            <w:tcMar>
              <w:top w:w="100" w:type="dxa"/>
              <w:left w:w="20" w:type="dxa"/>
              <w:bottom w:w="100" w:type="dxa"/>
              <w:right w:w="20" w:type="dxa"/>
            </w:tcMar>
            <w:vAlign w:val="center"/>
          </w:tcPr>
          <w:p w14:paraId="226E52E0"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630" w:type="pct"/>
            <w:tcBorders>
              <w:top w:val="nil"/>
              <w:left w:val="nil"/>
              <w:bottom w:val="nil"/>
              <w:right w:val="nil"/>
            </w:tcBorders>
            <w:tcMar>
              <w:top w:w="100" w:type="dxa"/>
              <w:left w:w="20" w:type="dxa"/>
              <w:bottom w:w="100" w:type="dxa"/>
              <w:right w:w="20" w:type="dxa"/>
            </w:tcMar>
            <w:vAlign w:val="center"/>
          </w:tcPr>
          <w:p w14:paraId="7D6E16DD"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Nhập khẩu năng lượng (gồm </w:t>
            </w:r>
            <w:r w:rsidR="00992BD9" w:rsidRPr="006545AD">
              <w:rPr>
                <w:rFonts w:ascii="Times New Roman" w:eastAsia="Times New Roman" w:hAnsi="Times New Roman" w:cs="Times New Roman"/>
                <w:sz w:val="28"/>
                <w:szCs w:val="28"/>
              </w:rPr>
              <w:t>năng lượng</w:t>
            </w:r>
            <w:r w:rsidRPr="006545AD">
              <w:rPr>
                <w:rFonts w:ascii="Times New Roman" w:eastAsia="Times New Roman" w:hAnsi="Times New Roman" w:cs="Times New Roman"/>
                <w:sz w:val="28"/>
                <w:szCs w:val="28"/>
              </w:rPr>
              <w:t xml:space="preserve"> sơ cấp và chuyển đổi)</w:t>
            </w:r>
          </w:p>
        </w:tc>
        <w:tc>
          <w:tcPr>
            <w:tcW w:w="176" w:type="pct"/>
            <w:tcBorders>
              <w:top w:val="nil"/>
              <w:left w:val="nil"/>
              <w:bottom w:val="nil"/>
              <w:right w:val="nil"/>
            </w:tcBorders>
            <w:tcMar>
              <w:top w:w="100" w:type="dxa"/>
              <w:left w:w="20" w:type="dxa"/>
              <w:bottom w:w="100" w:type="dxa"/>
              <w:right w:w="20" w:type="dxa"/>
            </w:tcMar>
            <w:vAlign w:val="center"/>
          </w:tcPr>
          <w:p w14:paraId="03702509"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639" w:type="pct"/>
            <w:tcBorders>
              <w:top w:val="nil"/>
              <w:left w:val="nil"/>
              <w:bottom w:val="nil"/>
              <w:right w:val="nil"/>
            </w:tcBorders>
            <w:tcMar>
              <w:top w:w="100" w:type="dxa"/>
              <w:left w:w="20" w:type="dxa"/>
              <w:bottom w:w="100" w:type="dxa"/>
              <w:right w:w="20" w:type="dxa"/>
            </w:tcMar>
            <w:vAlign w:val="center"/>
          </w:tcPr>
          <w:p w14:paraId="00496A6B"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Xuất khẩu năng lượng (gồm </w:t>
            </w:r>
            <w:r w:rsidR="00992BD9" w:rsidRPr="006545AD">
              <w:rPr>
                <w:rFonts w:ascii="Times New Roman" w:eastAsia="Times New Roman" w:hAnsi="Times New Roman" w:cs="Times New Roman"/>
                <w:sz w:val="28"/>
                <w:szCs w:val="28"/>
              </w:rPr>
              <w:t>năng lượng</w:t>
            </w:r>
            <w:r w:rsidRPr="006545AD">
              <w:rPr>
                <w:rFonts w:ascii="Times New Roman" w:eastAsia="Times New Roman" w:hAnsi="Times New Roman" w:cs="Times New Roman"/>
                <w:sz w:val="28"/>
                <w:szCs w:val="28"/>
              </w:rPr>
              <w:t xml:space="preserve"> sơ cấp và chuyển đổi)</w:t>
            </w:r>
          </w:p>
        </w:tc>
        <w:tc>
          <w:tcPr>
            <w:tcW w:w="176" w:type="pct"/>
            <w:tcBorders>
              <w:top w:val="nil"/>
              <w:left w:val="nil"/>
              <w:bottom w:val="nil"/>
              <w:right w:val="nil"/>
            </w:tcBorders>
            <w:tcMar>
              <w:top w:w="100" w:type="dxa"/>
              <w:left w:w="20" w:type="dxa"/>
              <w:bottom w:w="100" w:type="dxa"/>
              <w:right w:w="20" w:type="dxa"/>
            </w:tcMar>
            <w:vAlign w:val="center"/>
          </w:tcPr>
          <w:p w14:paraId="1B843B6D"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832" w:type="pct"/>
            <w:tcBorders>
              <w:top w:val="nil"/>
              <w:left w:val="nil"/>
              <w:bottom w:val="nil"/>
              <w:right w:val="nil"/>
            </w:tcBorders>
            <w:tcMar>
              <w:top w:w="100" w:type="dxa"/>
              <w:left w:w="20" w:type="dxa"/>
              <w:bottom w:w="100" w:type="dxa"/>
              <w:right w:w="20" w:type="dxa"/>
            </w:tcMar>
            <w:vAlign w:val="center"/>
          </w:tcPr>
          <w:p w14:paraId="3AE8930D"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Dự trữ hàng hải, hàng không quốc tế (gồm </w:t>
            </w:r>
            <w:r w:rsidR="00992BD9" w:rsidRPr="006545AD">
              <w:rPr>
                <w:rFonts w:ascii="Times New Roman" w:eastAsia="Times New Roman" w:hAnsi="Times New Roman" w:cs="Times New Roman"/>
                <w:sz w:val="28"/>
                <w:szCs w:val="28"/>
              </w:rPr>
              <w:t>năng lượng</w:t>
            </w:r>
            <w:r w:rsidRPr="006545AD">
              <w:rPr>
                <w:rFonts w:ascii="Times New Roman" w:eastAsia="Times New Roman" w:hAnsi="Times New Roman" w:cs="Times New Roman"/>
                <w:sz w:val="28"/>
                <w:szCs w:val="28"/>
              </w:rPr>
              <w:t xml:space="preserve"> sơ cấp và chuyển đổi)</w:t>
            </w:r>
          </w:p>
        </w:tc>
        <w:tc>
          <w:tcPr>
            <w:tcW w:w="311" w:type="pct"/>
            <w:tcBorders>
              <w:top w:val="nil"/>
              <w:left w:val="nil"/>
              <w:bottom w:val="nil"/>
              <w:right w:val="nil"/>
            </w:tcBorders>
            <w:tcMar>
              <w:top w:w="100" w:type="dxa"/>
              <w:left w:w="20" w:type="dxa"/>
              <w:bottom w:w="100" w:type="dxa"/>
              <w:right w:w="20" w:type="dxa"/>
            </w:tcMar>
            <w:vAlign w:val="center"/>
          </w:tcPr>
          <w:p w14:paraId="075E2268"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706" w:type="pct"/>
            <w:tcBorders>
              <w:top w:val="nil"/>
              <w:left w:val="nil"/>
              <w:bottom w:val="nil"/>
              <w:right w:val="nil"/>
            </w:tcBorders>
            <w:tcMar>
              <w:top w:w="100" w:type="dxa"/>
              <w:left w:w="20" w:type="dxa"/>
              <w:bottom w:w="100" w:type="dxa"/>
              <w:right w:w="20" w:type="dxa"/>
            </w:tcMar>
            <w:vAlign w:val="center"/>
          </w:tcPr>
          <w:p w14:paraId="415AAA9A"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Chênh lệch tồn kho (gồm </w:t>
            </w:r>
            <w:r w:rsidR="00992BD9" w:rsidRPr="006545AD">
              <w:rPr>
                <w:rFonts w:ascii="Times New Roman" w:eastAsia="Times New Roman" w:hAnsi="Times New Roman" w:cs="Times New Roman"/>
                <w:sz w:val="28"/>
                <w:szCs w:val="28"/>
              </w:rPr>
              <w:t>năng lượng</w:t>
            </w:r>
            <w:r w:rsidRPr="006545AD">
              <w:rPr>
                <w:rFonts w:ascii="Times New Roman" w:eastAsia="Times New Roman" w:hAnsi="Times New Roman" w:cs="Times New Roman"/>
                <w:sz w:val="28"/>
                <w:szCs w:val="28"/>
              </w:rPr>
              <w:t xml:space="preserve"> sơ cấp và chuyển đổi)</w:t>
            </w:r>
          </w:p>
        </w:tc>
      </w:tr>
    </w:tbl>
    <w:p w14:paraId="5FB8FEFA" w14:textId="77777777" w:rsidR="00FB7BBB" w:rsidRPr="006545AD" w:rsidRDefault="00FB7BBB" w:rsidP="00FB7BBB">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Năng lượng tái tạo là các dạng năng lượng được tạo ra từ các nguồn tài nguyên có khả năng tái tạo như năng lượng được tạo ra từ năng lượng mặt trời, gió, địa nhiệt, thủy điện, tài nguyên đại dương (thủy triều, sóng biển), nhiên liệu sinh học, khí sinh học, hydro xanh (hydro thu được từ nguồn năng lượng tái tạo) và rác thải.</w:t>
      </w:r>
    </w:p>
    <w:p w14:paraId="571AAFC2" w14:textId="77777777" w:rsidR="00D473D2"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r w:rsidRPr="006545AD">
        <w:rPr>
          <w:rFonts w:ascii="Times New Roman" w:eastAsia="Times New Roman" w:hAnsi="Times New Roman" w:cs="Times New Roman"/>
          <w:sz w:val="28"/>
          <w:szCs w:val="28"/>
        </w:rPr>
        <w:tab/>
      </w:r>
    </w:p>
    <w:tbl>
      <w:tblPr>
        <w:tblStyle w:val="21"/>
        <w:tblW w:w="4622" w:type="pct"/>
        <w:jc w:val="center"/>
        <w:tblBorders>
          <w:top w:val="nil"/>
          <w:left w:val="nil"/>
          <w:bottom w:val="nil"/>
          <w:right w:val="nil"/>
          <w:insideH w:val="nil"/>
          <w:insideV w:val="nil"/>
        </w:tblBorders>
        <w:tblLook w:val="0600" w:firstRow="0" w:lastRow="0" w:firstColumn="0" w:lastColumn="0" w:noHBand="1" w:noVBand="1"/>
      </w:tblPr>
      <w:tblGrid>
        <w:gridCol w:w="2694"/>
        <w:gridCol w:w="709"/>
        <w:gridCol w:w="3884"/>
        <w:gridCol w:w="1099"/>
      </w:tblGrid>
      <w:tr w:rsidR="00C6342F" w:rsidRPr="006545AD" w14:paraId="154D191F" w14:textId="77777777" w:rsidTr="005725BC">
        <w:trPr>
          <w:trHeight w:val="628"/>
          <w:jc w:val="center"/>
        </w:trPr>
        <w:tc>
          <w:tcPr>
            <w:tcW w:w="1606" w:type="pct"/>
            <w:vMerge w:val="restart"/>
            <w:tcBorders>
              <w:top w:val="nil"/>
              <w:left w:val="nil"/>
              <w:bottom w:val="nil"/>
              <w:right w:val="nil"/>
            </w:tcBorders>
            <w:tcMar>
              <w:top w:w="100" w:type="dxa"/>
              <w:left w:w="20" w:type="dxa"/>
              <w:bottom w:w="100" w:type="dxa"/>
              <w:right w:w="20" w:type="dxa"/>
            </w:tcMar>
            <w:vAlign w:val="center"/>
          </w:tcPr>
          <w:p w14:paraId="35D597BE" w14:textId="77777777" w:rsidR="00C6342F" w:rsidRPr="006545AD" w:rsidRDefault="00C6342F"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trọng năng lượng tái tạo trong tổng cung năng lượng sơ cấp</w:t>
            </w:r>
          </w:p>
        </w:tc>
        <w:tc>
          <w:tcPr>
            <w:tcW w:w="423" w:type="pct"/>
            <w:vMerge w:val="restart"/>
            <w:tcBorders>
              <w:top w:val="nil"/>
              <w:left w:val="nil"/>
              <w:bottom w:val="nil"/>
              <w:right w:val="nil"/>
            </w:tcBorders>
            <w:tcMar>
              <w:top w:w="100" w:type="dxa"/>
              <w:left w:w="20" w:type="dxa"/>
              <w:bottom w:w="100" w:type="dxa"/>
              <w:right w:w="20" w:type="dxa"/>
            </w:tcMar>
            <w:vAlign w:val="center"/>
          </w:tcPr>
          <w:p w14:paraId="5E2B2DF0" w14:textId="77777777" w:rsidR="00C6342F" w:rsidRPr="006545AD" w:rsidRDefault="00C6342F"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316" w:type="pct"/>
            <w:tcBorders>
              <w:top w:val="nil"/>
              <w:left w:val="nil"/>
              <w:bottom w:val="single" w:sz="2" w:space="0" w:color="auto"/>
              <w:right w:val="nil"/>
            </w:tcBorders>
            <w:tcMar>
              <w:top w:w="100" w:type="dxa"/>
              <w:left w:w="20" w:type="dxa"/>
              <w:bottom w:w="100" w:type="dxa"/>
              <w:right w:w="20" w:type="dxa"/>
            </w:tcMar>
            <w:vAlign w:val="center"/>
          </w:tcPr>
          <w:p w14:paraId="398E28D4" w14:textId="77777777" w:rsidR="00C6342F" w:rsidRPr="006545AD" w:rsidRDefault="00C6342F"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Năng lượng tái tạo</w:t>
            </w:r>
          </w:p>
        </w:tc>
        <w:tc>
          <w:tcPr>
            <w:tcW w:w="655" w:type="pct"/>
            <w:vMerge w:val="restart"/>
            <w:tcBorders>
              <w:top w:val="nil"/>
              <w:left w:val="nil"/>
              <w:right w:val="nil"/>
            </w:tcBorders>
            <w:vAlign w:val="center"/>
          </w:tcPr>
          <w:p w14:paraId="1DC12249" w14:textId="305D061C" w:rsidR="00C6342F" w:rsidRPr="006545AD" w:rsidRDefault="00BE7109" w:rsidP="00923EF8">
            <w:pPr>
              <w:spacing w:before="60" w:after="60" w:line="360" w:lineRule="exact"/>
              <w:jc w:val="center"/>
              <w:rPr>
                <w:rFonts w:ascii="Times New Roman" w:eastAsia="Times New Roman" w:hAnsi="Times New Roman" w:cs="Times New Roman"/>
                <w:sz w:val="28"/>
                <w:szCs w:val="28"/>
              </w:rPr>
            </w:pPr>
            <w:r w:rsidRPr="006545AD">
              <w:rPr>
                <w:sz w:val="26"/>
                <w:szCs w:val="26"/>
              </w:rPr>
              <w:t>×</w:t>
            </w:r>
            <w:r w:rsidR="00C6342F" w:rsidRPr="006545AD">
              <w:rPr>
                <w:rFonts w:ascii="Times New Roman" w:eastAsia="Times New Roman" w:hAnsi="Times New Roman" w:cs="Times New Roman"/>
                <w:sz w:val="28"/>
                <w:szCs w:val="28"/>
              </w:rPr>
              <w:t xml:space="preserve"> 100</w:t>
            </w:r>
          </w:p>
        </w:tc>
      </w:tr>
      <w:tr w:rsidR="00C6342F" w:rsidRPr="006545AD" w14:paraId="6316FA35" w14:textId="77777777" w:rsidTr="005725BC">
        <w:trPr>
          <w:trHeight w:val="628"/>
          <w:jc w:val="center"/>
        </w:trPr>
        <w:tc>
          <w:tcPr>
            <w:tcW w:w="1606" w:type="pct"/>
            <w:vMerge/>
            <w:tcBorders>
              <w:bottom w:val="nil"/>
              <w:right w:val="nil"/>
            </w:tcBorders>
            <w:shd w:val="clear" w:color="auto" w:fill="auto"/>
            <w:tcMar>
              <w:top w:w="100" w:type="dxa"/>
              <w:left w:w="100" w:type="dxa"/>
              <w:bottom w:w="100" w:type="dxa"/>
              <w:right w:w="100" w:type="dxa"/>
            </w:tcMar>
            <w:vAlign w:val="center"/>
          </w:tcPr>
          <w:p w14:paraId="49C9827E" w14:textId="77777777" w:rsidR="00C6342F" w:rsidRPr="006545AD" w:rsidRDefault="00C6342F" w:rsidP="00923EF8">
            <w:pPr>
              <w:spacing w:before="60" w:after="60" w:line="360" w:lineRule="exact"/>
              <w:ind w:firstLine="720"/>
              <w:jc w:val="both"/>
              <w:rPr>
                <w:rFonts w:ascii="Times New Roman" w:eastAsia="Times New Roman" w:hAnsi="Times New Roman" w:cs="Times New Roman"/>
                <w:b/>
                <w:sz w:val="28"/>
                <w:szCs w:val="28"/>
              </w:rPr>
            </w:pPr>
          </w:p>
        </w:tc>
        <w:tc>
          <w:tcPr>
            <w:tcW w:w="423" w:type="pct"/>
            <w:vMerge/>
            <w:tcBorders>
              <w:bottom w:val="nil"/>
              <w:right w:val="nil"/>
            </w:tcBorders>
            <w:shd w:val="clear" w:color="auto" w:fill="auto"/>
            <w:tcMar>
              <w:top w:w="100" w:type="dxa"/>
              <w:left w:w="100" w:type="dxa"/>
              <w:bottom w:w="100" w:type="dxa"/>
              <w:right w:w="100" w:type="dxa"/>
            </w:tcMar>
            <w:vAlign w:val="center"/>
          </w:tcPr>
          <w:p w14:paraId="529FF982" w14:textId="77777777" w:rsidR="00C6342F" w:rsidRPr="006545AD" w:rsidRDefault="00C6342F" w:rsidP="00923EF8">
            <w:pPr>
              <w:spacing w:before="60" w:after="60" w:line="360" w:lineRule="exact"/>
              <w:ind w:firstLine="720"/>
              <w:jc w:val="both"/>
              <w:rPr>
                <w:rFonts w:ascii="Times New Roman" w:eastAsia="Times New Roman" w:hAnsi="Times New Roman" w:cs="Times New Roman"/>
                <w:b/>
                <w:sz w:val="28"/>
                <w:szCs w:val="28"/>
              </w:rPr>
            </w:pPr>
          </w:p>
        </w:tc>
        <w:tc>
          <w:tcPr>
            <w:tcW w:w="2316" w:type="pct"/>
            <w:tcBorders>
              <w:top w:val="single" w:sz="2" w:space="0" w:color="auto"/>
              <w:left w:val="nil"/>
              <w:bottom w:val="nil"/>
              <w:right w:val="nil"/>
            </w:tcBorders>
            <w:shd w:val="clear" w:color="auto" w:fill="auto"/>
            <w:tcMar>
              <w:top w:w="100" w:type="dxa"/>
              <w:left w:w="20" w:type="dxa"/>
              <w:bottom w:w="100" w:type="dxa"/>
              <w:right w:w="20" w:type="dxa"/>
            </w:tcMar>
            <w:vAlign w:val="center"/>
          </w:tcPr>
          <w:p w14:paraId="5E33D2FB" w14:textId="77777777" w:rsidR="00C6342F" w:rsidRPr="006545AD" w:rsidRDefault="00C6342F"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cung năng lượng sơ cấp</w:t>
            </w:r>
          </w:p>
        </w:tc>
        <w:tc>
          <w:tcPr>
            <w:tcW w:w="655" w:type="pct"/>
            <w:vMerge/>
            <w:tcBorders>
              <w:left w:val="nil"/>
              <w:bottom w:val="nil"/>
              <w:right w:val="nil"/>
            </w:tcBorders>
            <w:vAlign w:val="center"/>
          </w:tcPr>
          <w:p w14:paraId="0531D076" w14:textId="77777777" w:rsidR="00C6342F" w:rsidRPr="006545AD" w:rsidRDefault="00C6342F" w:rsidP="00923EF8">
            <w:pPr>
              <w:spacing w:before="60" w:after="60" w:line="360" w:lineRule="exact"/>
              <w:jc w:val="center"/>
              <w:rPr>
                <w:rFonts w:ascii="Times New Roman" w:eastAsia="Times New Roman" w:hAnsi="Times New Roman" w:cs="Times New Roman"/>
                <w:sz w:val="28"/>
                <w:szCs w:val="28"/>
              </w:rPr>
            </w:pPr>
          </w:p>
        </w:tc>
      </w:tr>
    </w:tbl>
    <w:p w14:paraId="0389BE1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cung năng lượng sơ cấp, năng lượng tái tạo được tính bằng đơn vị tấn dầu tương đương (TOE).</w:t>
      </w:r>
    </w:p>
    <w:p w14:paraId="564D3A7C" w14:textId="77777777" w:rsidR="00F408D5" w:rsidRPr="006545AD" w:rsidRDefault="006E7C70" w:rsidP="00F511B4">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BC99C9B" w14:textId="77777777" w:rsidR="00F408D5" w:rsidRPr="006545AD" w:rsidRDefault="006E7C70" w:rsidP="00D320C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năng lượng.</w:t>
      </w:r>
    </w:p>
    <w:p w14:paraId="3089E64A" w14:textId="77777777" w:rsidR="00F408D5" w:rsidRPr="006545AD" w:rsidRDefault="006E7C70" w:rsidP="00D320C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355461A7" w14:textId="77777777" w:rsidR="00F408D5" w:rsidRPr="006545AD" w:rsidRDefault="006E7C70" w:rsidP="00D320C2">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01330310" w14:textId="77777777" w:rsidR="00F408D5" w:rsidRPr="006545AD" w:rsidRDefault="006E7C70" w:rsidP="00D320C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1D09238E" w14:textId="77777777" w:rsidR="00F408D5" w:rsidRPr="006545AD" w:rsidRDefault="006E7C70" w:rsidP="00D320C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w:t>
      </w:r>
    </w:p>
    <w:p w14:paraId="02A5AE8C" w14:textId="77777777" w:rsidR="00F408D5" w:rsidRPr="006545AD" w:rsidRDefault="006E7C70" w:rsidP="00D320C2">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 Dữ liệu hành chính.</w:t>
      </w:r>
    </w:p>
    <w:p w14:paraId="2925D311" w14:textId="77777777" w:rsidR="00F408D5" w:rsidRPr="006545AD" w:rsidRDefault="006E7C70" w:rsidP="00D320C2">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2B1EF6BA" w14:textId="77777777" w:rsidR="00F408D5" w:rsidRPr="006545AD" w:rsidRDefault="006E7C70" w:rsidP="00D320C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Chủ trì: </w:t>
      </w:r>
      <w:r w:rsidR="00C651A7" w:rsidRPr="006545AD">
        <w:rPr>
          <w:rFonts w:ascii="Times New Roman" w:eastAsia="Times New Roman" w:hAnsi="Times New Roman" w:cs="Times New Roman"/>
          <w:sz w:val="28"/>
          <w:szCs w:val="28"/>
        </w:rPr>
        <w:t>Bộ Kế hoạch và Đầu tư (Tổng cục Thống kê)</w:t>
      </w:r>
      <w:r w:rsidRPr="006545AD">
        <w:rPr>
          <w:rFonts w:ascii="Times New Roman" w:eastAsia="Times New Roman" w:hAnsi="Times New Roman" w:cs="Times New Roman"/>
          <w:sz w:val="28"/>
          <w:szCs w:val="28"/>
        </w:rPr>
        <w:t>;</w:t>
      </w:r>
    </w:p>
    <w:p w14:paraId="5DEC119A" w14:textId="77777777" w:rsidR="00F408D5" w:rsidRPr="006545AD" w:rsidRDefault="006E7C70" w:rsidP="00D320C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Công Thương.</w:t>
      </w:r>
    </w:p>
    <w:p w14:paraId="5243B314" w14:textId="59EECFD8" w:rsidR="00F408D5" w:rsidRPr="006545AD" w:rsidRDefault="00B17E12" w:rsidP="00D320C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t>2</w:t>
      </w:r>
      <w:r w:rsidR="00EE5A98" w:rsidRPr="006545AD">
        <w:rPr>
          <w:rFonts w:ascii="Times New Roman" w:eastAsia="Times New Roman" w:hAnsi="Times New Roman" w:cs="Times New Roman"/>
          <w:b/>
          <w:sz w:val="28"/>
          <w:szCs w:val="28"/>
        </w:rPr>
        <w:t>.4</w:t>
      </w:r>
      <w:r w:rsidR="00C85EB8"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sản lượng điện từ năng lượng tái tạo trên tổng sản lượng điện sản xuất</w:t>
      </w:r>
    </w:p>
    <w:p w14:paraId="0A39DC5D" w14:textId="77777777" w:rsidR="00F408D5" w:rsidRPr="006545AD" w:rsidRDefault="00BD7F28" w:rsidP="00D320C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68C78F69" w14:textId="77777777" w:rsidR="00F408D5" w:rsidRPr="006545AD" w:rsidRDefault="00D473D2" w:rsidP="005725BC">
      <w:pPr>
        <w:spacing w:before="60" w:after="60" w:line="38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r>
      <w:r w:rsidR="006E7C70" w:rsidRPr="006545AD">
        <w:rPr>
          <w:rFonts w:ascii="Times New Roman" w:eastAsia="Times New Roman" w:hAnsi="Times New Roman" w:cs="Times New Roman"/>
          <w:sz w:val="28"/>
          <w:szCs w:val="28"/>
        </w:rPr>
        <w:t>Tỷ lệ sản lượng điện từ năng lượng tái tạo trên tổng sản lượng điện sản xuất là tỷ lệ phần trăm giữa tổng sản lượng điện được sản xuất từ nguồn năng lượng tái tạo so với tổng sản lượng điện sản xuất.</w:t>
      </w:r>
    </w:p>
    <w:p w14:paraId="4AD58EC1" w14:textId="0078F2CB"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Sản lượng điện từ năng lượng tái tạo là sản lượng điện được</w:t>
      </w:r>
      <w:r w:rsidR="00C6342F" w:rsidRPr="006545AD">
        <w:rPr>
          <w:rFonts w:ascii="Times New Roman" w:eastAsia="Times New Roman" w:hAnsi="Times New Roman" w:cs="Times New Roman"/>
          <w:sz w:val="28"/>
          <w:szCs w:val="28"/>
        </w:rPr>
        <w:t xml:space="preserve"> sản xuất</w:t>
      </w:r>
      <w:r w:rsidRPr="006545AD">
        <w:rPr>
          <w:rFonts w:ascii="Times New Roman" w:eastAsia="Times New Roman" w:hAnsi="Times New Roman" w:cs="Times New Roman"/>
          <w:sz w:val="28"/>
          <w:szCs w:val="28"/>
        </w:rPr>
        <w:t xml:space="preserve"> từ các nguồn năng lượng tái tạo bao gồm:</w:t>
      </w:r>
    </w:p>
    <w:p w14:paraId="7DD25342"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Thủy điện;</w:t>
      </w:r>
    </w:p>
    <w:p w14:paraId="08D10051"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gió;</w:t>
      </w:r>
    </w:p>
    <w:p w14:paraId="5505E849"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mặt trời;</w:t>
      </w:r>
    </w:p>
    <w:p w14:paraId="5EAD0F96"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từ năng lượng địa nhiệt;</w:t>
      </w:r>
    </w:p>
    <w:p w14:paraId="303BC9E1"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từ năng lượng thủy triều, sóng biển;</w:t>
      </w:r>
    </w:p>
    <w:p w14:paraId="00BC9528"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sinh khối;</w:t>
      </w:r>
    </w:p>
    <w:p w14:paraId="5DB2DFE5"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từ khí sinh học;</w:t>
      </w:r>
    </w:p>
    <w:p w14:paraId="32442F28"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từ hydro xanh (hydro thu được từ nguồn năng lượng tái tạo);</w:t>
      </w:r>
    </w:p>
    <w:p w14:paraId="7CD1E419"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Điện từ rác thải.</w:t>
      </w:r>
    </w:p>
    <w:p w14:paraId="1B2899BB" w14:textId="77777777" w:rsidR="00F408D5" w:rsidRPr="006545AD" w:rsidRDefault="006E7C70" w:rsidP="005725BC">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r w:rsidRPr="006545AD">
        <w:rPr>
          <w:rFonts w:ascii="Times New Roman" w:eastAsia="Times New Roman" w:hAnsi="Times New Roman" w:cs="Times New Roman"/>
          <w:sz w:val="28"/>
          <w:szCs w:val="28"/>
        </w:rPr>
        <w:tab/>
      </w:r>
    </w:p>
    <w:tbl>
      <w:tblPr>
        <w:tblStyle w:val="20"/>
        <w:tblW w:w="5000" w:type="pct"/>
        <w:jc w:val="center"/>
        <w:tblBorders>
          <w:top w:val="nil"/>
          <w:left w:val="nil"/>
          <w:bottom w:val="nil"/>
          <w:right w:val="nil"/>
          <w:insideH w:val="nil"/>
          <w:insideV w:val="nil"/>
        </w:tblBorders>
        <w:tblLook w:val="0600" w:firstRow="0" w:lastRow="0" w:firstColumn="0" w:lastColumn="0" w:noHBand="1" w:noVBand="1"/>
      </w:tblPr>
      <w:tblGrid>
        <w:gridCol w:w="2554"/>
        <w:gridCol w:w="709"/>
        <w:gridCol w:w="4962"/>
        <w:gridCol w:w="847"/>
      </w:tblGrid>
      <w:tr w:rsidR="00C6342F" w:rsidRPr="006545AD" w14:paraId="4BB21CDB" w14:textId="77777777" w:rsidTr="005725BC">
        <w:trPr>
          <w:trHeight w:val="701"/>
          <w:jc w:val="center"/>
        </w:trPr>
        <w:tc>
          <w:tcPr>
            <w:tcW w:w="1407" w:type="pct"/>
            <w:vMerge w:val="restart"/>
            <w:tcBorders>
              <w:top w:val="nil"/>
              <w:left w:val="nil"/>
              <w:bottom w:val="nil"/>
              <w:right w:val="nil"/>
            </w:tcBorders>
            <w:tcMar>
              <w:top w:w="100" w:type="dxa"/>
              <w:left w:w="20" w:type="dxa"/>
              <w:bottom w:w="100" w:type="dxa"/>
              <w:right w:w="20" w:type="dxa"/>
            </w:tcMar>
            <w:vAlign w:val="center"/>
          </w:tcPr>
          <w:p w14:paraId="7F9E5E24" w14:textId="77777777" w:rsidR="00C6342F" w:rsidRPr="006545AD" w:rsidRDefault="00C6342F" w:rsidP="005725BC">
            <w:pPr>
              <w:spacing w:before="20" w:after="20" w:line="34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sản lượng điện từ năng lượng tái tạo trên tổng sản lượng điện sản xuất</w:t>
            </w:r>
          </w:p>
        </w:tc>
        <w:tc>
          <w:tcPr>
            <w:tcW w:w="391" w:type="pct"/>
            <w:vMerge w:val="restart"/>
            <w:tcBorders>
              <w:top w:val="nil"/>
              <w:left w:val="nil"/>
              <w:bottom w:val="nil"/>
              <w:right w:val="nil"/>
            </w:tcBorders>
            <w:tcMar>
              <w:top w:w="100" w:type="dxa"/>
              <w:left w:w="20" w:type="dxa"/>
              <w:bottom w:w="100" w:type="dxa"/>
              <w:right w:w="20" w:type="dxa"/>
            </w:tcMar>
            <w:vAlign w:val="center"/>
          </w:tcPr>
          <w:p w14:paraId="798E88A8" w14:textId="77777777" w:rsidR="00C6342F" w:rsidRPr="006545AD" w:rsidRDefault="00C6342F" w:rsidP="005725BC">
            <w:pPr>
              <w:spacing w:before="20" w:after="20" w:line="34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735" w:type="pct"/>
            <w:tcBorders>
              <w:top w:val="nil"/>
              <w:left w:val="nil"/>
              <w:bottom w:val="single" w:sz="8" w:space="0" w:color="000000"/>
              <w:right w:val="nil"/>
            </w:tcBorders>
            <w:tcMar>
              <w:top w:w="100" w:type="dxa"/>
              <w:left w:w="20" w:type="dxa"/>
              <w:bottom w:w="100" w:type="dxa"/>
              <w:right w:w="20" w:type="dxa"/>
            </w:tcMar>
            <w:vAlign w:val="center"/>
          </w:tcPr>
          <w:p w14:paraId="6C1D7F5A" w14:textId="77777777" w:rsidR="00C6342F" w:rsidRPr="006545AD" w:rsidRDefault="00C6342F" w:rsidP="005725BC">
            <w:pPr>
              <w:spacing w:before="20" w:after="20" w:line="34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sản lượng điện từ năng lượng tái tạo</w:t>
            </w:r>
          </w:p>
        </w:tc>
        <w:tc>
          <w:tcPr>
            <w:tcW w:w="468" w:type="pct"/>
            <w:vMerge w:val="restart"/>
            <w:tcBorders>
              <w:top w:val="nil"/>
              <w:left w:val="nil"/>
              <w:right w:val="nil"/>
            </w:tcBorders>
            <w:vAlign w:val="center"/>
          </w:tcPr>
          <w:p w14:paraId="42AB964F" w14:textId="7BC03F2D" w:rsidR="00C6342F" w:rsidRPr="006545AD" w:rsidRDefault="00BE7109" w:rsidP="005725BC">
            <w:pPr>
              <w:spacing w:before="20" w:after="20" w:line="360" w:lineRule="exact"/>
              <w:jc w:val="center"/>
              <w:rPr>
                <w:rFonts w:ascii="Times New Roman" w:eastAsia="Times New Roman" w:hAnsi="Times New Roman" w:cs="Times New Roman"/>
                <w:sz w:val="28"/>
                <w:szCs w:val="28"/>
              </w:rPr>
            </w:pPr>
            <w:r w:rsidRPr="006545AD">
              <w:rPr>
                <w:sz w:val="26"/>
                <w:szCs w:val="26"/>
              </w:rPr>
              <w:t>×</w:t>
            </w:r>
            <w:r w:rsidR="00C6342F" w:rsidRPr="006545AD">
              <w:rPr>
                <w:rFonts w:ascii="Times New Roman" w:eastAsia="Times New Roman" w:hAnsi="Times New Roman" w:cs="Times New Roman"/>
                <w:sz w:val="28"/>
                <w:szCs w:val="28"/>
              </w:rPr>
              <w:t xml:space="preserve"> 100</w:t>
            </w:r>
          </w:p>
        </w:tc>
      </w:tr>
      <w:tr w:rsidR="00C6342F" w:rsidRPr="006545AD" w14:paraId="3904B4D8" w14:textId="77777777" w:rsidTr="005725BC">
        <w:trPr>
          <w:trHeight w:val="691"/>
          <w:jc w:val="center"/>
        </w:trPr>
        <w:tc>
          <w:tcPr>
            <w:tcW w:w="1407" w:type="pct"/>
            <w:vMerge/>
            <w:tcBorders>
              <w:bottom w:val="nil"/>
              <w:right w:val="nil"/>
            </w:tcBorders>
            <w:shd w:val="clear" w:color="auto" w:fill="auto"/>
            <w:tcMar>
              <w:top w:w="100" w:type="dxa"/>
              <w:left w:w="100" w:type="dxa"/>
              <w:bottom w:w="100" w:type="dxa"/>
              <w:right w:w="100" w:type="dxa"/>
            </w:tcMar>
            <w:vAlign w:val="center"/>
          </w:tcPr>
          <w:p w14:paraId="0B09D454" w14:textId="77777777" w:rsidR="00C6342F" w:rsidRPr="006545AD" w:rsidRDefault="00C6342F" w:rsidP="005725BC">
            <w:pPr>
              <w:spacing w:before="20" w:after="20" w:line="340" w:lineRule="exact"/>
              <w:jc w:val="both"/>
              <w:rPr>
                <w:rFonts w:ascii="Times New Roman" w:eastAsia="Times New Roman" w:hAnsi="Times New Roman" w:cs="Times New Roman"/>
                <w:b/>
                <w:sz w:val="28"/>
                <w:szCs w:val="28"/>
              </w:rPr>
            </w:pPr>
          </w:p>
        </w:tc>
        <w:tc>
          <w:tcPr>
            <w:tcW w:w="391" w:type="pct"/>
            <w:vMerge/>
            <w:tcBorders>
              <w:bottom w:val="nil"/>
              <w:right w:val="nil"/>
            </w:tcBorders>
            <w:shd w:val="clear" w:color="auto" w:fill="auto"/>
            <w:tcMar>
              <w:top w:w="100" w:type="dxa"/>
              <w:left w:w="100" w:type="dxa"/>
              <w:bottom w:w="100" w:type="dxa"/>
              <w:right w:w="100" w:type="dxa"/>
            </w:tcMar>
            <w:vAlign w:val="center"/>
          </w:tcPr>
          <w:p w14:paraId="13235B08" w14:textId="77777777" w:rsidR="00C6342F" w:rsidRPr="006545AD" w:rsidRDefault="00C6342F" w:rsidP="005725BC">
            <w:pPr>
              <w:spacing w:before="20" w:after="20" w:line="340" w:lineRule="exact"/>
              <w:jc w:val="both"/>
              <w:rPr>
                <w:rFonts w:ascii="Times New Roman" w:eastAsia="Times New Roman" w:hAnsi="Times New Roman" w:cs="Times New Roman"/>
                <w:b/>
                <w:sz w:val="28"/>
                <w:szCs w:val="28"/>
              </w:rPr>
            </w:pPr>
          </w:p>
        </w:tc>
        <w:tc>
          <w:tcPr>
            <w:tcW w:w="2735" w:type="pct"/>
            <w:tcBorders>
              <w:top w:val="nil"/>
              <w:left w:val="nil"/>
              <w:bottom w:val="nil"/>
              <w:right w:val="nil"/>
            </w:tcBorders>
            <w:shd w:val="clear" w:color="auto" w:fill="auto"/>
            <w:tcMar>
              <w:top w:w="100" w:type="dxa"/>
              <w:left w:w="20" w:type="dxa"/>
              <w:bottom w:w="100" w:type="dxa"/>
              <w:right w:w="20" w:type="dxa"/>
            </w:tcMar>
            <w:vAlign w:val="center"/>
          </w:tcPr>
          <w:p w14:paraId="4E680471" w14:textId="77777777" w:rsidR="00C6342F" w:rsidRPr="006545AD" w:rsidRDefault="00C6342F" w:rsidP="005725BC">
            <w:pPr>
              <w:spacing w:before="20" w:after="20" w:line="34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sản lượng điện sản xuất</w:t>
            </w:r>
          </w:p>
        </w:tc>
        <w:tc>
          <w:tcPr>
            <w:tcW w:w="468" w:type="pct"/>
            <w:vMerge/>
            <w:tcBorders>
              <w:left w:val="nil"/>
              <w:bottom w:val="nil"/>
              <w:right w:val="nil"/>
            </w:tcBorders>
            <w:vAlign w:val="center"/>
          </w:tcPr>
          <w:p w14:paraId="077F4848" w14:textId="77777777" w:rsidR="00C6342F" w:rsidRPr="006545AD" w:rsidRDefault="00C6342F" w:rsidP="005725BC">
            <w:pPr>
              <w:spacing w:before="20" w:after="20" w:line="360" w:lineRule="exact"/>
              <w:jc w:val="center"/>
              <w:rPr>
                <w:rFonts w:ascii="Times New Roman" w:eastAsia="Times New Roman" w:hAnsi="Times New Roman" w:cs="Times New Roman"/>
                <w:sz w:val="28"/>
                <w:szCs w:val="28"/>
              </w:rPr>
            </w:pPr>
          </w:p>
        </w:tc>
      </w:tr>
    </w:tbl>
    <w:p w14:paraId="38772AE0" w14:textId="1944ADD7" w:rsidR="00F408D5" w:rsidRPr="006545AD" w:rsidRDefault="00836A4E" w:rsidP="005725BC">
      <w:pPr>
        <w:spacing w:before="12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b/>
          <w:sz w:val="28"/>
          <w:szCs w:val="28"/>
        </w:rPr>
        <w:t>2. Phân tổ chủ yếu</w:t>
      </w:r>
    </w:p>
    <w:p w14:paraId="4EB4A0E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năng lượng.</w:t>
      </w:r>
    </w:p>
    <w:p w14:paraId="028E7DDE" w14:textId="77777777" w:rsidR="00F408D5" w:rsidRPr="006545AD" w:rsidRDefault="006E7C70" w:rsidP="005725BC">
      <w:pPr>
        <w:spacing w:before="60" w:after="60" w:line="40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2F7F51FD" w14:textId="77777777" w:rsidR="00F408D5" w:rsidRPr="006545AD" w:rsidRDefault="006E7C70" w:rsidP="005725BC">
      <w:pPr>
        <w:spacing w:before="60" w:after="60" w:line="40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4279346C" w14:textId="77777777" w:rsidR="00F408D5" w:rsidRPr="006545AD" w:rsidRDefault="006E7C70" w:rsidP="005725BC">
      <w:pPr>
        <w:spacing w:before="60" w:after="60" w:line="40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3EDCF817" w14:textId="77777777" w:rsidR="00F408D5" w:rsidRPr="006545AD" w:rsidRDefault="006E7C70" w:rsidP="005725BC">
      <w:pPr>
        <w:spacing w:before="60" w:after="60" w:line="40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w:t>
      </w:r>
    </w:p>
    <w:p w14:paraId="3E265090" w14:textId="77777777" w:rsidR="00F408D5" w:rsidRPr="006545AD" w:rsidRDefault="006E7C70" w:rsidP="005725BC">
      <w:pPr>
        <w:spacing w:before="60" w:after="60" w:line="40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 Dữ liệu hành chính.</w:t>
      </w:r>
    </w:p>
    <w:p w14:paraId="5EED85B8" w14:textId="77777777" w:rsidR="00F408D5" w:rsidRPr="006545AD" w:rsidRDefault="006E7C70" w:rsidP="005725BC">
      <w:pPr>
        <w:spacing w:before="60" w:after="60" w:line="40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5. Cơ quan chịu trách nhiệm thu thập, tổng hợp: </w:t>
      </w:r>
      <w:r w:rsidRPr="006545AD">
        <w:rPr>
          <w:rFonts w:ascii="Times New Roman" w:eastAsia="Times New Roman" w:hAnsi="Times New Roman" w:cs="Times New Roman"/>
          <w:sz w:val="28"/>
          <w:szCs w:val="28"/>
        </w:rPr>
        <w:t>Bộ Công Thương.</w:t>
      </w:r>
    </w:p>
    <w:p w14:paraId="1299B303" w14:textId="464E3385" w:rsidR="000461CF" w:rsidRPr="006545AD" w:rsidRDefault="00BD7F28" w:rsidP="005725BC">
      <w:pPr>
        <w:spacing w:before="240" w:after="120" w:line="38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0461CF" w:rsidRPr="006545AD">
        <w:rPr>
          <w:rFonts w:ascii="Times New Roman" w:eastAsia="Times New Roman" w:hAnsi="Times New Roman" w:cs="Times New Roman"/>
          <w:b/>
          <w:sz w:val="28"/>
          <w:szCs w:val="28"/>
        </w:rPr>
        <w:t>II. Lĩnh vực giao thông vận tải</w:t>
      </w:r>
    </w:p>
    <w:p w14:paraId="592FC2C7" w14:textId="411B56A6" w:rsidR="00F408D5" w:rsidRPr="006545AD" w:rsidRDefault="000461CF" w:rsidP="005725BC">
      <w:pPr>
        <w:spacing w:before="60" w:after="60" w:line="380" w:lineRule="exact"/>
        <w:jc w:val="both"/>
        <w:rPr>
          <w:rFonts w:ascii="Times New Roman" w:eastAsia="Times New Roman" w:hAnsi="Times New Roman" w:cs="Times New Roman"/>
          <w:b/>
          <w:sz w:val="28"/>
          <w:szCs w:val="28"/>
          <w:lang w:val="vi-VN"/>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2.5</w:t>
      </w:r>
      <w:r w:rsidR="00C85EB8"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xe buýt sử dụng năng lượng xanh so với tổng</w:t>
      </w:r>
      <w:r w:rsidR="00962F9D" w:rsidRPr="006545AD">
        <w:rPr>
          <w:rFonts w:ascii="Times New Roman" w:eastAsia="Times New Roman" w:hAnsi="Times New Roman" w:cs="Times New Roman"/>
          <w:b/>
          <w:sz w:val="28"/>
          <w:szCs w:val="28"/>
        </w:rPr>
        <w:t xml:space="preserve"> số</w:t>
      </w:r>
      <w:r w:rsidR="006E7C70" w:rsidRPr="006545AD">
        <w:rPr>
          <w:rFonts w:ascii="Times New Roman" w:eastAsia="Times New Roman" w:hAnsi="Times New Roman" w:cs="Times New Roman"/>
          <w:b/>
          <w:sz w:val="28"/>
          <w:szCs w:val="28"/>
        </w:rPr>
        <w:t xml:space="preserve"> xe buýt đang lưu hành tại các đô thị đặc biệt, đô thị loại </w:t>
      </w:r>
      <w:r w:rsidR="00DA1828" w:rsidRPr="006545AD">
        <w:rPr>
          <w:rFonts w:ascii="Times New Roman" w:eastAsia="Times New Roman" w:hAnsi="Times New Roman" w:cs="Times New Roman"/>
          <w:b/>
          <w:sz w:val="28"/>
          <w:szCs w:val="28"/>
          <w:lang w:val="vi-VN"/>
        </w:rPr>
        <w:t>I</w:t>
      </w:r>
    </w:p>
    <w:p w14:paraId="18502B74" w14:textId="77777777" w:rsidR="00F408D5" w:rsidRPr="006545AD" w:rsidRDefault="00BD7F28" w:rsidP="005725BC">
      <w:pPr>
        <w:spacing w:before="60" w:after="60" w:line="38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569FCED7" w14:textId="0311564C" w:rsidR="00F408D5" w:rsidRPr="006545AD" w:rsidRDefault="00923EF8" w:rsidP="005725BC">
      <w:pPr>
        <w:spacing w:before="100" w:after="60" w:line="40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r>
      <w:r w:rsidR="006E7C70" w:rsidRPr="006545AD">
        <w:rPr>
          <w:rFonts w:ascii="Times New Roman" w:eastAsia="Times New Roman" w:hAnsi="Times New Roman" w:cs="Times New Roman"/>
          <w:sz w:val="28"/>
          <w:szCs w:val="28"/>
        </w:rPr>
        <w:t xml:space="preserve">Tỷ lệ xe buýt sử dụng năng lượng xanh so với tổng xe buýt đang lưu hành tại các đô thị đặc biệt và đô thị loại </w:t>
      </w:r>
      <w:r w:rsidR="00DA1828" w:rsidRPr="006545AD">
        <w:rPr>
          <w:rFonts w:ascii="Times New Roman" w:eastAsia="Times New Roman" w:hAnsi="Times New Roman" w:cs="Times New Roman"/>
          <w:sz w:val="28"/>
          <w:szCs w:val="28"/>
          <w:lang w:val="vi-VN"/>
        </w:rPr>
        <w:t>I</w:t>
      </w:r>
      <w:r w:rsidR="00DA1828" w:rsidRPr="006545AD">
        <w:rPr>
          <w:rFonts w:ascii="Times New Roman" w:eastAsia="Times New Roman" w:hAnsi="Times New Roman" w:cs="Times New Roman"/>
          <w:sz w:val="28"/>
          <w:szCs w:val="28"/>
        </w:rPr>
        <w:t xml:space="preserve"> </w:t>
      </w:r>
      <w:r w:rsidR="006E7C70" w:rsidRPr="006545AD">
        <w:rPr>
          <w:rFonts w:ascii="Times New Roman" w:eastAsia="Times New Roman" w:hAnsi="Times New Roman" w:cs="Times New Roman"/>
          <w:sz w:val="28"/>
          <w:szCs w:val="28"/>
        </w:rPr>
        <w:t xml:space="preserve">là tỷ lệ phần trăm giữa tổng số xe buýt sử dụng các loại năng lượng xanh thay thế xăng, dầu so với tổng số xe buýt đang lưu hành tại các đô thị đặc biệt và đô thị loại </w:t>
      </w:r>
      <w:r w:rsidR="00DA1828" w:rsidRPr="006545AD">
        <w:rPr>
          <w:rFonts w:ascii="Times New Roman" w:eastAsia="Times New Roman" w:hAnsi="Times New Roman" w:cs="Times New Roman"/>
          <w:sz w:val="28"/>
          <w:szCs w:val="28"/>
          <w:lang w:val="vi-VN"/>
        </w:rPr>
        <w:t>I</w:t>
      </w:r>
      <w:r w:rsidR="006E7C70" w:rsidRPr="006545AD">
        <w:rPr>
          <w:rFonts w:ascii="Times New Roman" w:eastAsia="Times New Roman" w:hAnsi="Times New Roman" w:cs="Times New Roman"/>
          <w:sz w:val="28"/>
          <w:szCs w:val="28"/>
        </w:rPr>
        <w:t>.</w:t>
      </w:r>
    </w:p>
    <w:p w14:paraId="5DB8C8A9" w14:textId="3EA62A04" w:rsidR="00C85EB8" w:rsidRPr="006545AD" w:rsidRDefault="00923EF8" w:rsidP="005725BC">
      <w:pPr>
        <w:spacing w:before="100" w:after="60" w:line="40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Xe buýt sử dụng năng lượng xanh là xe buýt sử dụng điện để vận hành</w:t>
      </w:r>
      <w:r w:rsidR="00BB5B08" w:rsidRPr="006545AD">
        <w:rPr>
          <w:rFonts w:ascii="Times New Roman" w:eastAsia="Times New Roman" w:hAnsi="Times New Roman" w:cs="Times New Roman"/>
          <w:sz w:val="28"/>
          <w:szCs w:val="28"/>
        </w:rPr>
        <w:t xml:space="preserve"> (không phân biệt điện từ nguồn nào)</w:t>
      </w:r>
      <w:r w:rsidR="006E7C70" w:rsidRPr="006545AD">
        <w:rPr>
          <w:rFonts w:ascii="Times New Roman" w:eastAsia="Times New Roman" w:hAnsi="Times New Roman" w:cs="Times New Roman"/>
          <w:sz w:val="28"/>
          <w:szCs w:val="28"/>
        </w:rPr>
        <w:t>. Với mục tiêu phát thải ròng khí nhà kính về “0” vào năm 2050, các phương tiện giao thông sẽ hướng tới sử dụng năng lượng xanh dần, chuyển đổi</w:t>
      </w:r>
      <w:r w:rsidR="002E4693" w:rsidRPr="006545AD">
        <w:rPr>
          <w:rFonts w:ascii="Times New Roman" w:eastAsia="Times New Roman" w:hAnsi="Times New Roman" w:cs="Times New Roman"/>
          <w:sz w:val="28"/>
          <w:szCs w:val="28"/>
        </w:rPr>
        <w:t xml:space="preserve"> dần</w:t>
      </w:r>
      <w:r w:rsidR="006E7C70" w:rsidRPr="006545AD">
        <w:rPr>
          <w:rFonts w:ascii="Times New Roman" w:eastAsia="Times New Roman" w:hAnsi="Times New Roman" w:cs="Times New Roman"/>
          <w:sz w:val="28"/>
          <w:szCs w:val="28"/>
        </w:rPr>
        <w:t xml:space="preserve"> lĩnh vực giao thông từ “nâu sang xanh”. </w:t>
      </w:r>
    </w:p>
    <w:p w14:paraId="14F6D9A8" w14:textId="49E4B378" w:rsidR="00F408D5" w:rsidRPr="006545AD" w:rsidRDefault="00C85EB8" w:rsidP="005725BC">
      <w:pPr>
        <w:spacing w:before="100" w:after="60" w:line="40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i/>
          <w:sz w:val="28"/>
          <w:szCs w:val="28"/>
        </w:rPr>
        <w:t>Lưu ý:</w:t>
      </w:r>
      <w:r w:rsidRPr="006545AD">
        <w:rPr>
          <w:rFonts w:ascii="Times New Roman" w:eastAsia="Times New Roman" w:hAnsi="Times New Roman" w:cs="Times New Roman"/>
          <w:sz w:val="28"/>
          <w:szCs w:val="28"/>
        </w:rPr>
        <w:t xml:space="preserve"> </w:t>
      </w:r>
      <w:r w:rsidR="006E7C70" w:rsidRPr="006545AD">
        <w:rPr>
          <w:rFonts w:ascii="Times New Roman" w:eastAsia="Times New Roman" w:hAnsi="Times New Roman" w:cs="Times New Roman"/>
          <w:sz w:val="28"/>
          <w:szCs w:val="28"/>
        </w:rPr>
        <w:t>Trong những năm đầu của quá trình chuyển đổi, chỉ tiêu này sẽ tính cả xe buýt sử dụng các loại nhiên liệu sạch như CNG, L</w:t>
      </w:r>
      <w:r w:rsidR="00A671B6" w:rsidRPr="009E1776">
        <w:rPr>
          <w:rFonts w:ascii="Times New Roman" w:eastAsia="Times New Roman" w:hAnsi="Times New Roman" w:cs="Times New Roman"/>
          <w:sz w:val="28"/>
          <w:szCs w:val="28"/>
        </w:rPr>
        <w:t>N</w:t>
      </w:r>
      <w:r w:rsidR="006E7C70" w:rsidRPr="006545AD">
        <w:rPr>
          <w:rFonts w:ascii="Times New Roman" w:eastAsia="Times New Roman" w:hAnsi="Times New Roman" w:cs="Times New Roman"/>
          <w:sz w:val="28"/>
          <w:szCs w:val="28"/>
        </w:rPr>
        <w:t>G</w:t>
      </w:r>
      <w:r w:rsidRPr="006545AD">
        <w:rPr>
          <w:rFonts w:ascii="Times New Roman" w:eastAsia="Times New Roman" w:hAnsi="Times New Roman" w:cs="Times New Roman"/>
          <w:sz w:val="28"/>
          <w:szCs w:val="28"/>
        </w:rPr>
        <w:t>…</w:t>
      </w:r>
      <w:r w:rsidR="006E7C70" w:rsidRPr="006545AD">
        <w:rPr>
          <w:rFonts w:ascii="Times New Roman" w:eastAsia="Times New Roman" w:hAnsi="Times New Roman" w:cs="Times New Roman"/>
          <w:sz w:val="28"/>
          <w:szCs w:val="28"/>
        </w:rPr>
        <w:t xml:space="preserve"> để vận hành. Đây là các loại</w:t>
      </w:r>
      <w:r w:rsidR="002E4693" w:rsidRPr="006545AD">
        <w:rPr>
          <w:rFonts w:ascii="Times New Roman" w:eastAsia="Times New Roman" w:hAnsi="Times New Roman" w:cs="Times New Roman"/>
          <w:sz w:val="28"/>
          <w:szCs w:val="28"/>
        </w:rPr>
        <w:t xml:space="preserve"> nhiên liệu thay thế sử dụng</w:t>
      </w:r>
      <w:r w:rsidR="006E7C70" w:rsidRPr="006545AD">
        <w:rPr>
          <w:rFonts w:ascii="Times New Roman" w:eastAsia="Times New Roman" w:hAnsi="Times New Roman" w:cs="Times New Roman"/>
          <w:sz w:val="28"/>
          <w:szCs w:val="28"/>
        </w:rPr>
        <w:t xml:space="preserve"> cho các phương tiện giao thông nhưng có mức phát thải thấp hơn nhiên liệu hóa thạch (giai đoạn nâu). Trong những năm sau khi xe buýt được chuyển đổi đồng loạt sang xe buýt điện thì chỉ tiêu này sẽ </w:t>
      </w:r>
      <w:r w:rsidR="004C0C8B" w:rsidRPr="006545AD">
        <w:rPr>
          <w:rFonts w:ascii="Times New Roman" w:eastAsia="Times New Roman" w:hAnsi="Times New Roman" w:cs="Times New Roman"/>
          <w:sz w:val="28"/>
          <w:szCs w:val="28"/>
        </w:rPr>
        <w:t xml:space="preserve">thống kê </w:t>
      </w:r>
      <w:r w:rsidR="006E7C70" w:rsidRPr="006545AD">
        <w:rPr>
          <w:rFonts w:ascii="Times New Roman" w:eastAsia="Times New Roman" w:hAnsi="Times New Roman" w:cs="Times New Roman"/>
          <w:sz w:val="28"/>
          <w:szCs w:val="28"/>
        </w:rPr>
        <w:t>số lượng xe buýt điện đang lưu hành (giai đoạn xanh).</w:t>
      </w:r>
    </w:p>
    <w:p w14:paraId="1AF47F38" w14:textId="23600A21" w:rsidR="00B307A2" w:rsidRPr="006545AD" w:rsidRDefault="00923EF8" w:rsidP="005725BC">
      <w:pPr>
        <w:spacing w:before="100" w:after="60" w:line="40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Đô thị đặc biệt là các đô thị đáp ứng được các tiêu chí phân loại trong Nghị quyết số: 1210/2016/UBTVQH13 ngày 25/5/2016 của Ủy ban thường vụ Quốc hội.</w:t>
      </w:r>
      <w:r w:rsidR="00486F21" w:rsidRPr="006545AD">
        <w:rPr>
          <w:rFonts w:ascii="Times New Roman" w:eastAsia="Times New Roman" w:hAnsi="Times New Roman" w:cs="Times New Roman"/>
          <w:sz w:val="28"/>
          <w:szCs w:val="28"/>
          <w:lang w:val="vi-VN"/>
        </w:rPr>
        <w:t xml:space="preserve"> </w:t>
      </w:r>
      <w:r w:rsidR="006E7C70" w:rsidRPr="006545AD">
        <w:rPr>
          <w:rFonts w:ascii="Times New Roman" w:eastAsia="Times New Roman" w:hAnsi="Times New Roman" w:cs="Times New Roman"/>
          <w:sz w:val="28"/>
          <w:szCs w:val="28"/>
        </w:rPr>
        <w:t xml:space="preserve">Đô thị </w:t>
      </w:r>
      <w:r w:rsidR="008C15B1" w:rsidRPr="006545AD">
        <w:rPr>
          <w:rFonts w:ascii="Times New Roman" w:eastAsia="Times New Roman" w:hAnsi="Times New Roman" w:cs="Times New Roman"/>
          <w:sz w:val="28"/>
          <w:szCs w:val="28"/>
        </w:rPr>
        <w:t>loại I</w:t>
      </w:r>
      <w:r w:rsidR="006E7C70" w:rsidRPr="006545AD">
        <w:rPr>
          <w:rFonts w:ascii="Times New Roman" w:eastAsia="Times New Roman" w:hAnsi="Times New Roman" w:cs="Times New Roman"/>
          <w:sz w:val="28"/>
          <w:szCs w:val="28"/>
        </w:rPr>
        <w:t xml:space="preserve"> là các đô thị đáp ứng các tiêu chí phân loại trong Nghị quyết số: 1210/2016/UBTVQH13 ngày 25/5/2016 của Ủy ban thường vụ Quốc hội. </w:t>
      </w:r>
    </w:p>
    <w:p w14:paraId="7A352B73" w14:textId="2591E1B8" w:rsidR="00F408D5" w:rsidRPr="006545AD" w:rsidRDefault="004C0C8B"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Công thức tính: </w:t>
      </w:r>
    </w:p>
    <w:tbl>
      <w:tblPr>
        <w:tblStyle w:val="TableGrid"/>
        <w:tblW w:w="5000" w:type="pct"/>
        <w:jc w:val="center"/>
        <w:tblLayout w:type="fixed"/>
        <w:tblLook w:val="04A0" w:firstRow="1" w:lastRow="0" w:firstColumn="1" w:lastColumn="0" w:noHBand="0" w:noVBand="1"/>
      </w:tblPr>
      <w:tblGrid>
        <w:gridCol w:w="2977"/>
        <w:gridCol w:w="38"/>
        <w:gridCol w:w="386"/>
        <w:gridCol w:w="24"/>
        <w:gridCol w:w="4754"/>
        <w:gridCol w:w="893"/>
      </w:tblGrid>
      <w:tr w:rsidR="006E7C70" w:rsidRPr="006545AD" w14:paraId="32C8833A" w14:textId="77777777" w:rsidTr="005725BC">
        <w:trPr>
          <w:trHeight w:val="986"/>
          <w:jc w:val="center"/>
        </w:trPr>
        <w:tc>
          <w:tcPr>
            <w:tcW w:w="1641" w:type="pct"/>
            <w:vMerge w:val="restart"/>
            <w:tcBorders>
              <w:top w:val="nil"/>
              <w:left w:val="nil"/>
              <w:bottom w:val="nil"/>
              <w:right w:val="nil"/>
            </w:tcBorders>
            <w:vAlign w:val="center"/>
          </w:tcPr>
          <w:p w14:paraId="64D0D908" w14:textId="4BB15299" w:rsidR="006E7C70" w:rsidRPr="006545AD" w:rsidRDefault="006E7C70" w:rsidP="00D473D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xe buýt sử dụng nhiên liệu sạch so với tổng</w:t>
            </w:r>
            <w:r w:rsidR="00962F9D" w:rsidRPr="006545AD">
              <w:rPr>
                <w:rFonts w:ascii="Times New Roman" w:eastAsia="Times New Roman" w:hAnsi="Times New Roman" w:cs="Times New Roman"/>
                <w:sz w:val="28"/>
                <w:szCs w:val="28"/>
              </w:rPr>
              <w:t xml:space="preserve"> số</w:t>
            </w:r>
            <w:r w:rsidRPr="006545AD">
              <w:rPr>
                <w:rFonts w:ascii="Times New Roman" w:eastAsia="Times New Roman" w:hAnsi="Times New Roman" w:cs="Times New Roman"/>
                <w:sz w:val="28"/>
                <w:szCs w:val="28"/>
              </w:rPr>
              <w:t xml:space="preserve"> xe buýt đang lưu hành tại đô thị đặc biệt và đô thị </w:t>
            </w:r>
            <w:r w:rsidR="008C15B1" w:rsidRPr="006545AD">
              <w:rPr>
                <w:rFonts w:ascii="Times New Roman" w:eastAsia="Times New Roman" w:hAnsi="Times New Roman" w:cs="Times New Roman"/>
                <w:sz w:val="28"/>
                <w:szCs w:val="28"/>
              </w:rPr>
              <w:t>loại I</w:t>
            </w:r>
            <w:r w:rsidR="0063652A"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w:t>
            </w:r>
          </w:p>
        </w:tc>
        <w:tc>
          <w:tcPr>
            <w:tcW w:w="234" w:type="pct"/>
            <w:gridSpan w:val="2"/>
            <w:vMerge w:val="restart"/>
            <w:tcBorders>
              <w:top w:val="nil"/>
              <w:left w:val="nil"/>
              <w:bottom w:val="nil"/>
              <w:right w:val="nil"/>
            </w:tcBorders>
            <w:vAlign w:val="center"/>
          </w:tcPr>
          <w:p w14:paraId="3B22E44B"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633" w:type="pct"/>
            <w:gridSpan w:val="2"/>
            <w:tcBorders>
              <w:top w:val="nil"/>
              <w:left w:val="nil"/>
              <w:bottom w:val="single" w:sz="4" w:space="0" w:color="auto"/>
              <w:right w:val="nil"/>
            </w:tcBorders>
            <w:vAlign w:val="center"/>
          </w:tcPr>
          <w:p w14:paraId="449CE9A9" w14:textId="6CBA9012" w:rsidR="006E7C70"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Số xe buýt sử dụng nhiên liệu sạch tại đô thị đặc biệt và đô thị </w:t>
            </w:r>
            <w:r w:rsidR="008C15B1" w:rsidRPr="006545AD">
              <w:rPr>
                <w:rFonts w:ascii="Times New Roman" w:eastAsia="Times New Roman" w:hAnsi="Times New Roman" w:cs="Times New Roman"/>
                <w:sz w:val="28"/>
                <w:szCs w:val="28"/>
              </w:rPr>
              <w:t>loại I</w:t>
            </w:r>
          </w:p>
        </w:tc>
        <w:tc>
          <w:tcPr>
            <w:tcW w:w="492" w:type="pct"/>
            <w:vMerge w:val="restart"/>
            <w:tcBorders>
              <w:top w:val="nil"/>
              <w:left w:val="nil"/>
              <w:bottom w:val="nil"/>
              <w:right w:val="nil"/>
            </w:tcBorders>
            <w:vAlign w:val="center"/>
          </w:tcPr>
          <w:p w14:paraId="52BCDF1F" w14:textId="4C35F03C" w:rsidR="006E7C70" w:rsidRPr="006545AD" w:rsidRDefault="00BE7109" w:rsidP="00923EF8">
            <w:pPr>
              <w:spacing w:before="60" w:after="60" w:line="360" w:lineRule="exact"/>
              <w:jc w:val="both"/>
              <w:rPr>
                <w:rFonts w:ascii="Times New Roman" w:eastAsia="Times New Roman" w:hAnsi="Times New Roman" w:cs="Times New Roman"/>
                <w:sz w:val="28"/>
                <w:szCs w:val="28"/>
              </w:rPr>
            </w:pPr>
            <w:r w:rsidRPr="006545AD">
              <w:rPr>
                <w:sz w:val="26"/>
                <w:szCs w:val="26"/>
              </w:rPr>
              <w:t>×</w:t>
            </w:r>
            <w:r w:rsidR="006E7C70" w:rsidRPr="006545AD">
              <w:rPr>
                <w:rFonts w:ascii="Times New Roman" w:eastAsia="Times New Roman" w:hAnsi="Times New Roman" w:cs="Times New Roman"/>
                <w:sz w:val="28"/>
                <w:szCs w:val="28"/>
              </w:rPr>
              <w:t xml:space="preserve"> 100</w:t>
            </w:r>
          </w:p>
        </w:tc>
      </w:tr>
      <w:tr w:rsidR="006E7C70" w:rsidRPr="006545AD" w14:paraId="66316AAB" w14:textId="77777777" w:rsidTr="005725BC">
        <w:trPr>
          <w:jc w:val="center"/>
        </w:trPr>
        <w:tc>
          <w:tcPr>
            <w:tcW w:w="1641" w:type="pct"/>
            <w:vMerge/>
            <w:tcBorders>
              <w:top w:val="nil"/>
              <w:left w:val="nil"/>
              <w:bottom w:val="nil"/>
              <w:right w:val="nil"/>
            </w:tcBorders>
            <w:vAlign w:val="center"/>
          </w:tcPr>
          <w:p w14:paraId="515F0F2D"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p>
        </w:tc>
        <w:tc>
          <w:tcPr>
            <w:tcW w:w="234" w:type="pct"/>
            <w:gridSpan w:val="2"/>
            <w:vMerge/>
            <w:tcBorders>
              <w:top w:val="nil"/>
              <w:left w:val="nil"/>
              <w:bottom w:val="nil"/>
              <w:right w:val="nil"/>
            </w:tcBorders>
            <w:vAlign w:val="center"/>
          </w:tcPr>
          <w:p w14:paraId="46D619A6"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p>
        </w:tc>
        <w:tc>
          <w:tcPr>
            <w:tcW w:w="2633" w:type="pct"/>
            <w:gridSpan w:val="2"/>
            <w:tcBorders>
              <w:top w:val="single" w:sz="4" w:space="0" w:color="auto"/>
              <w:left w:val="nil"/>
              <w:bottom w:val="nil"/>
              <w:right w:val="nil"/>
            </w:tcBorders>
            <w:vAlign w:val="center"/>
          </w:tcPr>
          <w:p w14:paraId="1EA2C927" w14:textId="4C4E04A3" w:rsidR="006E7C70"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số xe buýt đang lưu hành tại đô thị đặc biệt và đô thị </w:t>
            </w:r>
            <w:r w:rsidR="008C15B1" w:rsidRPr="006545AD">
              <w:rPr>
                <w:rFonts w:ascii="Times New Roman" w:eastAsia="Times New Roman" w:hAnsi="Times New Roman" w:cs="Times New Roman"/>
                <w:sz w:val="28"/>
                <w:szCs w:val="28"/>
              </w:rPr>
              <w:t>loại I</w:t>
            </w:r>
          </w:p>
        </w:tc>
        <w:tc>
          <w:tcPr>
            <w:tcW w:w="492" w:type="pct"/>
            <w:vMerge/>
            <w:tcBorders>
              <w:top w:val="nil"/>
              <w:left w:val="nil"/>
              <w:bottom w:val="nil"/>
              <w:right w:val="nil"/>
            </w:tcBorders>
            <w:vAlign w:val="center"/>
          </w:tcPr>
          <w:p w14:paraId="660B9A75"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p>
        </w:tc>
      </w:tr>
      <w:tr w:rsidR="006E7C70" w:rsidRPr="006545AD" w14:paraId="6B5878D6" w14:textId="77777777" w:rsidTr="005725BC">
        <w:trPr>
          <w:trHeight w:val="1342"/>
          <w:jc w:val="center"/>
        </w:trPr>
        <w:tc>
          <w:tcPr>
            <w:tcW w:w="1662" w:type="pct"/>
            <w:gridSpan w:val="2"/>
            <w:vMerge w:val="restart"/>
            <w:tcBorders>
              <w:top w:val="nil"/>
              <w:left w:val="nil"/>
              <w:bottom w:val="nil"/>
              <w:right w:val="nil"/>
            </w:tcBorders>
            <w:vAlign w:val="center"/>
          </w:tcPr>
          <w:p w14:paraId="74C33F14" w14:textId="0158573B" w:rsidR="006E7C70" w:rsidRPr="006545AD" w:rsidRDefault="006E7C70" w:rsidP="005725BC">
            <w:pPr>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xe buýt sử dụng năng lượng xanh so với tổng</w:t>
            </w:r>
            <w:r w:rsidR="00962F9D" w:rsidRPr="006545AD">
              <w:rPr>
                <w:rFonts w:ascii="Times New Roman" w:eastAsia="Times New Roman" w:hAnsi="Times New Roman" w:cs="Times New Roman"/>
                <w:sz w:val="28"/>
                <w:szCs w:val="28"/>
              </w:rPr>
              <w:t xml:space="preserve"> số</w:t>
            </w:r>
            <w:r w:rsidRPr="006545AD">
              <w:rPr>
                <w:rFonts w:ascii="Times New Roman" w:eastAsia="Times New Roman" w:hAnsi="Times New Roman" w:cs="Times New Roman"/>
                <w:sz w:val="28"/>
                <w:szCs w:val="28"/>
              </w:rPr>
              <w:t xml:space="preserve"> xe buýt đang lưu hành tại đô thị đặc biệt và đô thị </w:t>
            </w:r>
            <w:r w:rsidR="008C15B1" w:rsidRPr="006545AD">
              <w:rPr>
                <w:rFonts w:ascii="Times New Roman" w:eastAsia="Times New Roman" w:hAnsi="Times New Roman" w:cs="Times New Roman"/>
                <w:sz w:val="28"/>
                <w:szCs w:val="28"/>
              </w:rPr>
              <w:t>loại I</w:t>
            </w:r>
            <w:r w:rsidR="0063652A"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w:t>
            </w:r>
          </w:p>
        </w:tc>
        <w:tc>
          <w:tcPr>
            <w:tcW w:w="226" w:type="pct"/>
            <w:gridSpan w:val="2"/>
            <w:vMerge w:val="restart"/>
            <w:tcBorders>
              <w:top w:val="nil"/>
              <w:left w:val="nil"/>
              <w:bottom w:val="nil"/>
              <w:right w:val="nil"/>
            </w:tcBorders>
            <w:vAlign w:val="center"/>
          </w:tcPr>
          <w:p w14:paraId="0157D4FC"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620" w:type="pct"/>
            <w:tcBorders>
              <w:top w:val="nil"/>
              <w:left w:val="nil"/>
              <w:bottom w:val="single" w:sz="4" w:space="0" w:color="auto"/>
              <w:right w:val="nil"/>
            </w:tcBorders>
            <w:vAlign w:val="center"/>
          </w:tcPr>
          <w:p w14:paraId="21927E9F" w14:textId="351731AD" w:rsidR="006E7C70"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Số xe buýt sử dụng năng lượng xanh tại đô thị đặc biệt và đô thị </w:t>
            </w:r>
            <w:r w:rsidR="008C15B1" w:rsidRPr="006545AD">
              <w:rPr>
                <w:rFonts w:ascii="Times New Roman" w:eastAsia="Times New Roman" w:hAnsi="Times New Roman" w:cs="Times New Roman"/>
                <w:sz w:val="28"/>
                <w:szCs w:val="28"/>
              </w:rPr>
              <w:t>loại I</w:t>
            </w:r>
          </w:p>
        </w:tc>
        <w:tc>
          <w:tcPr>
            <w:tcW w:w="492" w:type="pct"/>
            <w:vMerge w:val="restart"/>
            <w:tcBorders>
              <w:top w:val="nil"/>
              <w:left w:val="nil"/>
              <w:bottom w:val="nil"/>
              <w:right w:val="nil"/>
            </w:tcBorders>
            <w:vAlign w:val="center"/>
          </w:tcPr>
          <w:p w14:paraId="0C1060A6" w14:textId="55D97903" w:rsidR="006E7C70" w:rsidRPr="006545AD" w:rsidRDefault="00BE7109" w:rsidP="00923EF8">
            <w:pPr>
              <w:spacing w:before="60" w:after="60" w:line="360" w:lineRule="exact"/>
              <w:jc w:val="both"/>
              <w:rPr>
                <w:rFonts w:ascii="Times New Roman" w:eastAsia="Times New Roman" w:hAnsi="Times New Roman" w:cs="Times New Roman"/>
                <w:sz w:val="28"/>
                <w:szCs w:val="28"/>
              </w:rPr>
            </w:pPr>
            <w:r w:rsidRPr="006545AD">
              <w:rPr>
                <w:sz w:val="26"/>
                <w:szCs w:val="26"/>
              </w:rPr>
              <w:t>×</w:t>
            </w:r>
            <w:r w:rsidR="006E7C70" w:rsidRPr="006545AD">
              <w:rPr>
                <w:rFonts w:ascii="Times New Roman" w:eastAsia="Times New Roman" w:hAnsi="Times New Roman" w:cs="Times New Roman"/>
                <w:sz w:val="28"/>
                <w:szCs w:val="28"/>
              </w:rPr>
              <w:t xml:space="preserve"> 100</w:t>
            </w:r>
          </w:p>
        </w:tc>
      </w:tr>
      <w:tr w:rsidR="006E7C70" w:rsidRPr="006545AD" w14:paraId="05D2D187" w14:textId="77777777" w:rsidTr="005725BC">
        <w:trPr>
          <w:trHeight w:val="1194"/>
          <w:jc w:val="center"/>
        </w:trPr>
        <w:tc>
          <w:tcPr>
            <w:tcW w:w="1662" w:type="pct"/>
            <w:gridSpan w:val="2"/>
            <w:vMerge/>
            <w:tcBorders>
              <w:top w:val="nil"/>
              <w:left w:val="nil"/>
              <w:bottom w:val="nil"/>
              <w:right w:val="nil"/>
            </w:tcBorders>
            <w:vAlign w:val="center"/>
          </w:tcPr>
          <w:p w14:paraId="3C209899"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p>
        </w:tc>
        <w:tc>
          <w:tcPr>
            <w:tcW w:w="226" w:type="pct"/>
            <w:gridSpan w:val="2"/>
            <w:vMerge/>
            <w:tcBorders>
              <w:top w:val="nil"/>
              <w:left w:val="nil"/>
              <w:bottom w:val="nil"/>
              <w:right w:val="nil"/>
            </w:tcBorders>
            <w:vAlign w:val="center"/>
          </w:tcPr>
          <w:p w14:paraId="498B0890"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p>
        </w:tc>
        <w:tc>
          <w:tcPr>
            <w:tcW w:w="2620" w:type="pct"/>
            <w:tcBorders>
              <w:top w:val="single" w:sz="4" w:space="0" w:color="auto"/>
              <w:left w:val="nil"/>
              <w:bottom w:val="nil"/>
              <w:right w:val="nil"/>
            </w:tcBorders>
            <w:vAlign w:val="center"/>
          </w:tcPr>
          <w:p w14:paraId="75D45420" w14:textId="13045227" w:rsidR="006E7C70"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số xe buýt đang lưu hành tại đô thị đặc biệt và đô thị </w:t>
            </w:r>
            <w:r w:rsidR="008C15B1" w:rsidRPr="006545AD">
              <w:rPr>
                <w:rFonts w:ascii="Times New Roman" w:eastAsia="Times New Roman" w:hAnsi="Times New Roman" w:cs="Times New Roman"/>
                <w:sz w:val="28"/>
                <w:szCs w:val="28"/>
              </w:rPr>
              <w:t>loại I</w:t>
            </w:r>
            <w:r w:rsidRPr="006545AD">
              <w:rPr>
                <w:rFonts w:ascii="Times New Roman" w:eastAsia="Times New Roman" w:hAnsi="Times New Roman" w:cs="Times New Roman"/>
                <w:sz w:val="28"/>
                <w:szCs w:val="28"/>
              </w:rPr>
              <w:t xml:space="preserve">    </w:t>
            </w:r>
          </w:p>
        </w:tc>
        <w:tc>
          <w:tcPr>
            <w:tcW w:w="492" w:type="pct"/>
            <w:vMerge/>
            <w:tcBorders>
              <w:top w:val="nil"/>
              <w:left w:val="nil"/>
              <w:bottom w:val="nil"/>
              <w:right w:val="nil"/>
            </w:tcBorders>
            <w:vAlign w:val="center"/>
          </w:tcPr>
          <w:p w14:paraId="6DAC4B54" w14:textId="77777777" w:rsidR="006E7C70" w:rsidRPr="006545AD" w:rsidRDefault="006E7C70" w:rsidP="00923EF8">
            <w:pPr>
              <w:spacing w:before="60" w:after="60" w:line="360" w:lineRule="exact"/>
              <w:jc w:val="both"/>
              <w:rPr>
                <w:rFonts w:ascii="Times New Roman" w:eastAsia="Times New Roman" w:hAnsi="Times New Roman" w:cs="Times New Roman"/>
                <w:sz w:val="28"/>
                <w:szCs w:val="28"/>
              </w:rPr>
            </w:pPr>
          </w:p>
        </w:tc>
      </w:tr>
    </w:tbl>
    <w:p w14:paraId="7D0AE855" w14:textId="77777777" w:rsidR="00F408D5" w:rsidRPr="006545AD" w:rsidRDefault="006E7C70" w:rsidP="005725BC">
      <w:pPr>
        <w:spacing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268006BB" w14:textId="27D06D19"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Loại đô thị đặc biệt, đô thị </w:t>
      </w:r>
      <w:r w:rsidR="008C15B1" w:rsidRPr="006545AD">
        <w:rPr>
          <w:rFonts w:ascii="Times New Roman" w:eastAsia="Times New Roman" w:hAnsi="Times New Roman" w:cs="Times New Roman"/>
          <w:sz w:val="28"/>
          <w:szCs w:val="28"/>
        </w:rPr>
        <w:t>loại I</w:t>
      </w:r>
      <w:r w:rsidR="00FB7BBB" w:rsidRPr="006545AD">
        <w:rPr>
          <w:rFonts w:ascii="Times New Roman" w:eastAsia="Times New Roman" w:hAnsi="Times New Roman" w:cs="Times New Roman"/>
          <w:sz w:val="28"/>
          <w:szCs w:val="28"/>
        </w:rPr>
        <w:t>;</w:t>
      </w:r>
    </w:p>
    <w:p w14:paraId="188F0589" w14:textId="65C5E5A6"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Loại năng lượng (năng lượng xanh (điện), nhiên liệu </w:t>
      </w:r>
      <w:r w:rsidR="00FB7BBB" w:rsidRPr="006545AD">
        <w:rPr>
          <w:rFonts w:ascii="Times New Roman" w:eastAsia="Times New Roman" w:hAnsi="Times New Roman" w:cs="Times New Roman"/>
          <w:sz w:val="28"/>
          <w:szCs w:val="28"/>
        </w:rPr>
        <w:t xml:space="preserve">sạch như LNG, </w:t>
      </w:r>
      <w:r w:rsidRPr="006545AD">
        <w:rPr>
          <w:rFonts w:ascii="Times New Roman" w:eastAsia="Times New Roman" w:hAnsi="Times New Roman" w:cs="Times New Roman"/>
          <w:sz w:val="28"/>
          <w:szCs w:val="28"/>
        </w:rPr>
        <w:t>CNG)</w:t>
      </w:r>
      <w:r w:rsidR="00FB7BBB" w:rsidRPr="006545AD">
        <w:rPr>
          <w:rFonts w:ascii="Times New Roman" w:eastAsia="Times New Roman" w:hAnsi="Times New Roman" w:cs="Times New Roman"/>
          <w:sz w:val="28"/>
          <w:szCs w:val="28"/>
        </w:rPr>
        <w:t>.</w:t>
      </w:r>
    </w:p>
    <w:p w14:paraId="41D404D4"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2 năm</w:t>
      </w:r>
      <w:r w:rsidR="00FB7BBB" w:rsidRPr="006545AD">
        <w:rPr>
          <w:rFonts w:ascii="Times New Roman" w:eastAsia="Times New Roman" w:hAnsi="Times New Roman" w:cs="Times New Roman"/>
          <w:sz w:val="28"/>
          <w:szCs w:val="28"/>
        </w:rPr>
        <w:t>.</w:t>
      </w:r>
    </w:p>
    <w:p w14:paraId="7DCA0B5C" w14:textId="77777777" w:rsidR="00713EEE"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 xml:space="preserve">4. Nguồn số liệu: </w:t>
      </w:r>
    </w:p>
    <w:p w14:paraId="1B812AAB" w14:textId="01F62423" w:rsidR="00875241" w:rsidRPr="006545AD" w:rsidRDefault="00875241"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00C85EB8" w:rsidRPr="006545AD">
        <w:rPr>
          <w:rFonts w:ascii="Times New Roman" w:eastAsia="Times New Roman" w:hAnsi="Times New Roman" w:cs="Times New Roman"/>
          <w:sz w:val="28"/>
          <w:szCs w:val="28"/>
        </w:rPr>
        <w:t>Dữ</w:t>
      </w:r>
      <w:r w:rsidR="00574BDA" w:rsidRPr="006545AD">
        <w:rPr>
          <w:rFonts w:ascii="Times New Roman" w:eastAsia="Times New Roman" w:hAnsi="Times New Roman" w:cs="Times New Roman"/>
          <w:sz w:val="28"/>
          <w:szCs w:val="28"/>
        </w:rPr>
        <w:t xml:space="preserve"> liệu hành chính của Bộ Giao thông </w:t>
      </w:r>
      <w:r w:rsidR="008A0E6C" w:rsidRPr="006545AD">
        <w:rPr>
          <w:rFonts w:ascii="Times New Roman" w:eastAsia="Times New Roman" w:hAnsi="Times New Roman" w:cs="Times New Roman"/>
          <w:sz w:val="28"/>
          <w:szCs w:val="28"/>
        </w:rPr>
        <w:t>v</w:t>
      </w:r>
      <w:r w:rsidR="00574BDA" w:rsidRPr="006545AD">
        <w:rPr>
          <w:rFonts w:ascii="Times New Roman" w:eastAsia="Times New Roman" w:hAnsi="Times New Roman" w:cs="Times New Roman"/>
          <w:sz w:val="28"/>
          <w:szCs w:val="28"/>
        </w:rPr>
        <w:t>ận tải</w:t>
      </w:r>
      <w:r w:rsidRPr="006545AD">
        <w:rPr>
          <w:rFonts w:ascii="Times New Roman" w:eastAsia="Times New Roman" w:hAnsi="Times New Roman" w:cs="Times New Roman"/>
          <w:sz w:val="28"/>
          <w:szCs w:val="28"/>
        </w:rPr>
        <w:t>;</w:t>
      </w:r>
    </w:p>
    <w:p w14:paraId="4B22BA2A" w14:textId="5AD51433" w:rsidR="00713EEE" w:rsidRPr="006545AD" w:rsidRDefault="00875241" w:rsidP="00923EF8">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Chế độ báo cáo.</w:t>
      </w:r>
    </w:p>
    <w:p w14:paraId="0E4CACE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367C8360" w14:textId="3B74DF4B"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Chủ trì: Bộ </w:t>
      </w:r>
      <w:r w:rsidR="00574BDA" w:rsidRPr="006545AD">
        <w:rPr>
          <w:rFonts w:ascii="Times New Roman" w:eastAsia="Times New Roman" w:hAnsi="Times New Roman" w:cs="Times New Roman"/>
          <w:sz w:val="28"/>
          <w:szCs w:val="28"/>
        </w:rPr>
        <w:t xml:space="preserve">Giao thông </w:t>
      </w:r>
      <w:r w:rsidR="008A0E6C" w:rsidRPr="006545AD">
        <w:rPr>
          <w:rFonts w:ascii="Times New Roman" w:eastAsia="Times New Roman" w:hAnsi="Times New Roman" w:cs="Times New Roman"/>
          <w:sz w:val="28"/>
          <w:szCs w:val="28"/>
        </w:rPr>
        <w:t>v</w:t>
      </w:r>
      <w:r w:rsidR="00574BDA" w:rsidRPr="006545AD">
        <w:rPr>
          <w:rFonts w:ascii="Times New Roman" w:eastAsia="Times New Roman" w:hAnsi="Times New Roman" w:cs="Times New Roman"/>
          <w:sz w:val="28"/>
          <w:szCs w:val="28"/>
        </w:rPr>
        <w:t>ận tải</w:t>
      </w:r>
      <w:r w:rsidR="005A7F64" w:rsidRPr="006545AD">
        <w:rPr>
          <w:rFonts w:ascii="Times New Roman" w:eastAsia="Times New Roman" w:hAnsi="Times New Roman" w:cs="Times New Roman"/>
          <w:sz w:val="28"/>
          <w:szCs w:val="28"/>
        </w:rPr>
        <w:t>;</w:t>
      </w:r>
    </w:p>
    <w:p w14:paraId="6CCE6EEC" w14:textId="1ED9C738" w:rsidR="005F61CC" w:rsidRPr="006545AD" w:rsidRDefault="005E36A1" w:rsidP="009B7606">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Phối hợp: </w:t>
      </w:r>
      <w:r w:rsidR="00FE1893" w:rsidRPr="006545AD">
        <w:rPr>
          <w:rFonts w:ascii="Times New Roman" w:eastAsia="Times New Roman" w:hAnsi="Times New Roman" w:cs="Times New Roman"/>
          <w:sz w:val="28"/>
          <w:szCs w:val="28"/>
          <w:lang w:val="en-US"/>
        </w:rPr>
        <w:t>Ủy ban Nhân dân tỉnh, thành phố trực thuộc Trung ương (là các đô thị đặc biệt, đô thị loại I)</w:t>
      </w:r>
      <w:r w:rsidR="005A7F64" w:rsidRPr="006545AD">
        <w:rPr>
          <w:rFonts w:ascii="Times New Roman" w:eastAsia="Times New Roman" w:hAnsi="Times New Roman" w:cs="Times New Roman"/>
          <w:sz w:val="28"/>
          <w:szCs w:val="28"/>
        </w:rPr>
        <w:t>.</w:t>
      </w:r>
    </w:p>
    <w:p w14:paraId="468247E0" w14:textId="0DA706E8" w:rsidR="00F408D5" w:rsidRPr="006545AD" w:rsidRDefault="00EE5A98" w:rsidP="005F61CC">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2.6</w:t>
      </w:r>
      <w:r w:rsidR="00992BD9"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xe buýt mới sử dụng năng lượng xanh so với tổng số xe buýt mới tại các đô thị đặc biệt và đô thị </w:t>
      </w:r>
      <w:r w:rsidR="008C15B1" w:rsidRPr="006545AD">
        <w:rPr>
          <w:rFonts w:ascii="Times New Roman" w:eastAsia="Times New Roman" w:hAnsi="Times New Roman" w:cs="Times New Roman"/>
          <w:b/>
          <w:sz w:val="28"/>
          <w:szCs w:val="28"/>
        </w:rPr>
        <w:t>loại I</w:t>
      </w:r>
    </w:p>
    <w:p w14:paraId="0F0C24D5"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40AAC26D" w14:textId="5179FE24" w:rsidR="00F408D5"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Tỷ lệ xe buýt mới sử dụng năng lượng xanh so với tổng lượng xe buýt mới tại các đô thị </w:t>
      </w:r>
      <w:r w:rsidR="004C0C8B" w:rsidRPr="006545AD">
        <w:rPr>
          <w:rFonts w:ascii="Times New Roman" w:eastAsia="Times New Roman" w:hAnsi="Times New Roman" w:cs="Times New Roman"/>
          <w:sz w:val="28"/>
          <w:szCs w:val="28"/>
        </w:rPr>
        <w:t xml:space="preserve">đặc biệt và đô thị </w:t>
      </w:r>
      <w:r w:rsidR="008C15B1" w:rsidRPr="006545AD">
        <w:rPr>
          <w:rFonts w:ascii="Times New Roman" w:eastAsia="Times New Roman" w:hAnsi="Times New Roman" w:cs="Times New Roman"/>
          <w:sz w:val="28"/>
          <w:szCs w:val="28"/>
        </w:rPr>
        <w:t>loại I</w:t>
      </w:r>
      <w:r w:rsidR="006E7C70" w:rsidRPr="006545AD">
        <w:rPr>
          <w:rFonts w:ascii="Times New Roman" w:eastAsia="Times New Roman" w:hAnsi="Times New Roman" w:cs="Times New Roman"/>
          <w:sz w:val="28"/>
          <w:szCs w:val="28"/>
        </w:rPr>
        <w:t xml:space="preserve"> là tỷ lệ phần trăm giữa tổng số xe buýt sử dụng năng lượng xanh</w:t>
      </w:r>
      <w:r w:rsidR="00C85EB8" w:rsidRPr="006545AD">
        <w:rPr>
          <w:rFonts w:ascii="Times New Roman" w:eastAsia="Times New Roman" w:hAnsi="Times New Roman" w:cs="Times New Roman"/>
          <w:sz w:val="28"/>
          <w:szCs w:val="28"/>
        </w:rPr>
        <w:t xml:space="preserve"> được mua mới so với tổng số xe buýt được mua mới</w:t>
      </w:r>
      <w:r w:rsidR="006E7C70" w:rsidRPr="006545AD">
        <w:rPr>
          <w:rFonts w:ascii="Times New Roman" w:eastAsia="Times New Roman" w:hAnsi="Times New Roman" w:cs="Times New Roman"/>
          <w:sz w:val="28"/>
          <w:szCs w:val="28"/>
        </w:rPr>
        <w:t xml:space="preserve"> tại các đô thị</w:t>
      </w:r>
      <w:r w:rsidR="005E36A1" w:rsidRPr="006545AD">
        <w:rPr>
          <w:rFonts w:ascii="Times New Roman" w:eastAsia="Times New Roman" w:hAnsi="Times New Roman" w:cs="Times New Roman"/>
          <w:sz w:val="28"/>
          <w:szCs w:val="28"/>
        </w:rPr>
        <w:t xml:space="preserve"> đặc biệt và đô thị</w:t>
      </w:r>
      <w:r w:rsidR="006E7C70" w:rsidRPr="006545AD">
        <w:rPr>
          <w:rFonts w:ascii="Times New Roman" w:eastAsia="Times New Roman" w:hAnsi="Times New Roman" w:cs="Times New Roman"/>
          <w:sz w:val="28"/>
          <w:szCs w:val="28"/>
        </w:rPr>
        <w:t xml:space="preserve"> </w:t>
      </w:r>
      <w:r w:rsidR="008C15B1" w:rsidRPr="006545AD">
        <w:rPr>
          <w:rFonts w:ascii="Times New Roman" w:eastAsia="Times New Roman" w:hAnsi="Times New Roman" w:cs="Times New Roman"/>
          <w:sz w:val="28"/>
          <w:szCs w:val="28"/>
        </w:rPr>
        <w:t>loại I</w:t>
      </w:r>
      <w:r w:rsidR="002E4693" w:rsidRPr="006545AD">
        <w:rPr>
          <w:rFonts w:ascii="Times New Roman" w:eastAsia="Times New Roman" w:hAnsi="Times New Roman" w:cs="Times New Roman"/>
          <w:sz w:val="28"/>
          <w:szCs w:val="28"/>
        </w:rPr>
        <w:t xml:space="preserve"> trong cùng một thời kỳ</w:t>
      </w:r>
      <w:r w:rsidR="006E7C70" w:rsidRPr="006545AD">
        <w:rPr>
          <w:rFonts w:ascii="Times New Roman" w:eastAsia="Times New Roman" w:hAnsi="Times New Roman" w:cs="Times New Roman"/>
          <w:sz w:val="28"/>
          <w:szCs w:val="28"/>
        </w:rPr>
        <w:t>.</w:t>
      </w:r>
    </w:p>
    <w:p w14:paraId="71F193A1" w14:textId="5D9090D4" w:rsidR="005A7F64" w:rsidRPr="006545AD" w:rsidRDefault="00923EF8" w:rsidP="005A7F64">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rPr>
        <w:tab/>
      </w:r>
      <w:r w:rsidR="005A7F64" w:rsidRPr="006545AD">
        <w:rPr>
          <w:rFonts w:ascii="Times New Roman" w:eastAsia="Times New Roman" w:hAnsi="Times New Roman" w:cs="Times New Roman"/>
          <w:sz w:val="28"/>
          <w:szCs w:val="28"/>
          <w:lang w:val="en-US"/>
        </w:rPr>
        <w:t>Xe buýt sử dụng năng lượng xanh được mua mới là xe buýt vận hành bằng điện</w:t>
      </w:r>
      <w:r w:rsidR="00753BE4" w:rsidRPr="006545AD">
        <w:rPr>
          <w:rFonts w:ascii="Times New Roman" w:eastAsia="Times New Roman" w:hAnsi="Times New Roman" w:cs="Times New Roman"/>
          <w:sz w:val="28"/>
          <w:szCs w:val="28"/>
          <w:lang w:val="en-US"/>
        </w:rPr>
        <w:t xml:space="preserve"> (không phân biệt điện từ nguồn nào)</w:t>
      </w:r>
      <w:r w:rsidR="005A7F64" w:rsidRPr="006545AD">
        <w:rPr>
          <w:rFonts w:ascii="Times New Roman" w:eastAsia="Times New Roman" w:hAnsi="Times New Roman" w:cs="Times New Roman"/>
          <w:sz w:val="28"/>
          <w:szCs w:val="28"/>
          <w:lang w:val="en-US"/>
        </w:rPr>
        <w:t xml:space="preserve"> được mua mới hoàn toàn</w:t>
      </w:r>
      <w:r w:rsidR="002E4693" w:rsidRPr="006545AD">
        <w:rPr>
          <w:rFonts w:ascii="Times New Roman" w:eastAsia="Times New Roman" w:hAnsi="Times New Roman" w:cs="Times New Roman"/>
          <w:sz w:val="28"/>
          <w:szCs w:val="28"/>
          <w:lang w:val="en-US"/>
        </w:rPr>
        <w:t xml:space="preserve">. </w:t>
      </w:r>
      <w:r w:rsidR="002E4693" w:rsidRPr="006545AD">
        <w:rPr>
          <w:rFonts w:ascii="Times New Roman" w:eastAsia="Times New Roman" w:hAnsi="Times New Roman" w:cs="Times New Roman"/>
          <w:bCs/>
          <w:sz w:val="28"/>
          <w:szCs w:val="28"/>
          <w:lang w:val="en-US"/>
        </w:rPr>
        <w:t>Xe buýt được mua mới hoàn toàn là xe buýt được mua mới và được đăng ký gắn biển số trong khoảng từ ngày đầu tiên (01/01) của năm đầu tiên đến ng</w:t>
      </w:r>
      <w:r w:rsidR="00061D73">
        <w:rPr>
          <w:rFonts w:ascii="Times New Roman" w:eastAsia="Times New Roman" w:hAnsi="Times New Roman" w:cs="Times New Roman"/>
          <w:bCs/>
          <w:sz w:val="28"/>
          <w:szCs w:val="28"/>
          <w:lang w:val="en-US"/>
        </w:rPr>
        <w:t>ày cuối cùng (31/12) của năm thứ hai</w:t>
      </w:r>
      <w:r w:rsidR="002E4693" w:rsidRPr="006545AD">
        <w:rPr>
          <w:rFonts w:ascii="Times New Roman" w:eastAsia="Times New Roman" w:hAnsi="Times New Roman" w:cs="Times New Roman"/>
          <w:bCs/>
          <w:sz w:val="28"/>
          <w:szCs w:val="28"/>
          <w:lang w:val="en-US"/>
        </w:rPr>
        <w:t xml:space="preserve"> sau năm đầu tiên</w:t>
      </w:r>
      <w:r w:rsidR="00E821BE" w:rsidRPr="006545AD">
        <w:rPr>
          <w:rFonts w:ascii="Times New Roman" w:eastAsia="Times New Roman" w:hAnsi="Times New Roman" w:cs="Times New Roman"/>
          <w:sz w:val="28"/>
          <w:szCs w:val="28"/>
          <w:lang w:val="en-US"/>
        </w:rPr>
        <w:t>.</w:t>
      </w:r>
      <w:r w:rsidR="005A7F64" w:rsidRPr="006545AD">
        <w:rPr>
          <w:rFonts w:ascii="Times New Roman" w:eastAsia="Times New Roman" w:hAnsi="Times New Roman" w:cs="Times New Roman"/>
          <w:sz w:val="28"/>
          <w:szCs w:val="28"/>
          <w:lang w:val="en-US"/>
        </w:rPr>
        <w:t xml:space="preserve"> Với mục tiêu phát thải ròng khí nhà kính về “0” vào năm 2050, các phương tiện giao thông sẽ hướng tới sử dụng năng lượng xanh dần, chuyển đổi lĩnh vực giao thông từ “nâu sang xanh”. </w:t>
      </w:r>
    </w:p>
    <w:p w14:paraId="5BB984FE" w14:textId="42595818" w:rsidR="00F408D5" w:rsidRPr="006545AD" w:rsidRDefault="000372BF"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i/>
          <w:sz w:val="28"/>
          <w:szCs w:val="28"/>
        </w:rPr>
        <w:t>Lưu ý:</w:t>
      </w:r>
      <w:r w:rsidRPr="006545AD">
        <w:rPr>
          <w:rFonts w:ascii="Times New Roman" w:eastAsia="Times New Roman" w:hAnsi="Times New Roman" w:cs="Times New Roman"/>
          <w:sz w:val="28"/>
          <w:szCs w:val="28"/>
        </w:rPr>
        <w:t xml:space="preserve"> </w:t>
      </w:r>
      <w:r w:rsidR="006E7C70" w:rsidRPr="006545AD">
        <w:rPr>
          <w:rFonts w:ascii="Times New Roman" w:eastAsia="Times New Roman" w:hAnsi="Times New Roman" w:cs="Times New Roman"/>
          <w:sz w:val="28"/>
          <w:szCs w:val="28"/>
        </w:rPr>
        <w:t xml:space="preserve">Trong những năm đầu của quá trình chuyển đổi, chỉ tiêu này sẽ tính cả xe buýt mới </w:t>
      </w:r>
      <w:r w:rsidR="002E4693" w:rsidRPr="006545AD">
        <w:rPr>
          <w:rFonts w:ascii="Times New Roman" w:eastAsia="Times New Roman" w:hAnsi="Times New Roman" w:cs="Times New Roman"/>
          <w:sz w:val="28"/>
          <w:szCs w:val="28"/>
        </w:rPr>
        <w:t xml:space="preserve">sử dụng </w:t>
      </w:r>
      <w:r w:rsidR="006E7C70" w:rsidRPr="006545AD">
        <w:rPr>
          <w:rFonts w:ascii="Times New Roman" w:eastAsia="Times New Roman" w:hAnsi="Times New Roman" w:cs="Times New Roman"/>
          <w:sz w:val="28"/>
          <w:szCs w:val="28"/>
        </w:rPr>
        <w:t xml:space="preserve">các loại nhiên liệu sạch như CNG, LNG. Đây là các loại khí dùng làm nhiên liệu cho các phương tiện giao thông nhưng có mức phát thải thấp hơn nhiên liệu hóa thạch (giai đoạn nâu). Trong những năm sau khi xe buýt được chuyển đổi đồng loạt sang xe buýt điện thì chỉ tiêu này sẽ </w:t>
      </w:r>
      <w:r w:rsidR="00FE1893" w:rsidRPr="006545AD">
        <w:rPr>
          <w:rFonts w:ascii="Times New Roman" w:eastAsia="Times New Roman" w:hAnsi="Times New Roman" w:cs="Times New Roman"/>
          <w:sz w:val="28"/>
          <w:szCs w:val="28"/>
        </w:rPr>
        <w:t>tính</w:t>
      </w:r>
      <w:r w:rsidR="006E7C70" w:rsidRPr="006545AD">
        <w:rPr>
          <w:rFonts w:ascii="Times New Roman" w:eastAsia="Times New Roman" w:hAnsi="Times New Roman" w:cs="Times New Roman"/>
          <w:sz w:val="28"/>
          <w:szCs w:val="28"/>
        </w:rPr>
        <w:t xml:space="preserve"> số lượng xe buýt điện được mua mới (giai đoạn xanh).</w:t>
      </w:r>
    </w:p>
    <w:p w14:paraId="772FE7B3" w14:textId="4ED589DD" w:rsidR="00F408D5" w:rsidRPr="006545AD" w:rsidRDefault="00923EF8" w:rsidP="00923EF8">
      <w:pPr>
        <w:spacing w:before="60" w:after="6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pacing w:val="-4"/>
          <w:sz w:val="28"/>
          <w:szCs w:val="28"/>
        </w:rPr>
        <w:t xml:space="preserve">Đô thị đặc biệt là các đô thị đáp ứng được các tiêu chí phân loại trong Nghị quyết số: 1210/2016/UBTVQH13 ngày 25/5/2016 của Ủy ban thường vụ Quốc hội. </w:t>
      </w:r>
    </w:p>
    <w:p w14:paraId="03D8BFA8" w14:textId="3E281632" w:rsidR="00F408D5"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Đô thị </w:t>
      </w:r>
      <w:r w:rsidR="008C15B1" w:rsidRPr="006545AD">
        <w:rPr>
          <w:rFonts w:ascii="Times New Roman" w:eastAsia="Times New Roman" w:hAnsi="Times New Roman" w:cs="Times New Roman"/>
          <w:sz w:val="28"/>
          <w:szCs w:val="28"/>
        </w:rPr>
        <w:t>loại I</w:t>
      </w:r>
      <w:r w:rsidR="006E7C70" w:rsidRPr="006545AD">
        <w:rPr>
          <w:rFonts w:ascii="Times New Roman" w:eastAsia="Times New Roman" w:hAnsi="Times New Roman" w:cs="Times New Roman"/>
          <w:sz w:val="28"/>
          <w:szCs w:val="28"/>
        </w:rPr>
        <w:t xml:space="preserve"> là các đô thị đáp ứng các tiêu chí phân loại trong Nghị quyết số: 1210/2016/UBTVQH13 ngày 25/5/2016 của Ủy ban thường vụ Quốc hội</w:t>
      </w:r>
      <w:r w:rsidR="00376CC5" w:rsidRPr="006545AD">
        <w:rPr>
          <w:rFonts w:ascii="Times New Roman" w:eastAsia="Times New Roman" w:hAnsi="Times New Roman" w:cs="Times New Roman"/>
          <w:sz w:val="28"/>
          <w:szCs w:val="28"/>
        </w:rPr>
        <w:t>.</w:t>
      </w:r>
    </w:p>
    <w:p w14:paraId="2D3D4CCD" w14:textId="77777777" w:rsidR="00F408D5" w:rsidRPr="006545AD" w:rsidRDefault="00962F9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Công thức tính: </w:t>
      </w:r>
    </w:p>
    <w:tbl>
      <w:tblPr>
        <w:tblStyle w:val="TableGrid"/>
        <w:tblW w:w="5000" w:type="pct"/>
        <w:jc w:val="center"/>
        <w:tblLook w:val="04A0" w:firstRow="1" w:lastRow="0" w:firstColumn="1" w:lastColumn="0" w:noHBand="0" w:noVBand="1"/>
      </w:tblPr>
      <w:tblGrid>
        <w:gridCol w:w="2552"/>
        <w:gridCol w:w="425"/>
        <w:gridCol w:w="5202"/>
        <w:gridCol w:w="893"/>
      </w:tblGrid>
      <w:tr w:rsidR="003B417D" w:rsidRPr="006545AD" w14:paraId="328B54C2" w14:textId="77777777" w:rsidTr="005725BC">
        <w:trPr>
          <w:trHeight w:val="1139"/>
          <w:jc w:val="center"/>
        </w:trPr>
        <w:tc>
          <w:tcPr>
            <w:tcW w:w="1407" w:type="pct"/>
            <w:vMerge w:val="restart"/>
            <w:tcBorders>
              <w:top w:val="nil"/>
              <w:left w:val="nil"/>
              <w:bottom w:val="nil"/>
              <w:right w:val="nil"/>
            </w:tcBorders>
            <w:vAlign w:val="center"/>
          </w:tcPr>
          <w:p w14:paraId="23B813DD" w14:textId="22E85B53" w:rsidR="003B417D" w:rsidRPr="006545AD" w:rsidRDefault="003B417D" w:rsidP="0063652A">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Tỷ lệ xe buýt mới sử dụng nhiên liệu sạch so với tổng xe buýt mới tại các đô thị </w:t>
            </w:r>
            <w:r w:rsidR="008C15B1" w:rsidRPr="006545AD">
              <w:rPr>
                <w:rFonts w:ascii="Times New Roman" w:eastAsia="Times New Roman" w:hAnsi="Times New Roman" w:cs="Times New Roman"/>
                <w:sz w:val="28"/>
                <w:szCs w:val="28"/>
              </w:rPr>
              <w:t>loại I</w:t>
            </w:r>
            <w:r w:rsidRPr="006545AD">
              <w:rPr>
                <w:rFonts w:ascii="Times New Roman" w:eastAsia="Times New Roman" w:hAnsi="Times New Roman" w:cs="Times New Roman"/>
                <w:sz w:val="28"/>
                <w:szCs w:val="28"/>
              </w:rPr>
              <w:t xml:space="preserve"> (%)</w:t>
            </w:r>
          </w:p>
        </w:tc>
        <w:tc>
          <w:tcPr>
            <w:tcW w:w="234" w:type="pct"/>
            <w:vMerge w:val="restart"/>
            <w:tcBorders>
              <w:top w:val="nil"/>
              <w:left w:val="nil"/>
              <w:bottom w:val="nil"/>
              <w:right w:val="nil"/>
            </w:tcBorders>
            <w:vAlign w:val="center"/>
          </w:tcPr>
          <w:p w14:paraId="67DED262"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867" w:type="pct"/>
            <w:tcBorders>
              <w:top w:val="nil"/>
              <w:left w:val="nil"/>
              <w:bottom w:val="single" w:sz="4" w:space="0" w:color="auto"/>
              <w:right w:val="nil"/>
            </w:tcBorders>
            <w:vAlign w:val="center"/>
          </w:tcPr>
          <w:p w14:paraId="6A39F648" w14:textId="47044CDA" w:rsidR="003B417D" w:rsidRPr="006545AD" w:rsidRDefault="003B417D"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Số xe buýt mới sử dụng nhiên liệu sạch  tại đô thị đặc biệt và đô thị </w:t>
            </w:r>
            <w:r w:rsidR="008C15B1" w:rsidRPr="006545AD">
              <w:rPr>
                <w:rFonts w:ascii="Times New Roman" w:eastAsia="Times New Roman" w:hAnsi="Times New Roman" w:cs="Times New Roman"/>
                <w:sz w:val="28"/>
                <w:szCs w:val="28"/>
              </w:rPr>
              <w:t>loại I</w:t>
            </w:r>
          </w:p>
        </w:tc>
        <w:tc>
          <w:tcPr>
            <w:tcW w:w="492" w:type="pct"/>
            <w:vMerge w:val="restart"/>
            <w:tcBorders>
              <w:top w:val="nil"/>
              <w:left w:val="nil"/>
              <w:bottom w:val="nil"/>
              <w:right w:val="nil"/>
            </w:tcBorders>
            <w:vAlign w:val="center"/>
          </w:tcPr>
          <w:p w14:paraId="4CAA0B96" w14:textId="0B052EE6" w:rsidR="003B417D" w:rsidRPr="006545AD" w:rsidRDefault="00BE7109" w:rsidP="00923EF8">
            <w:pPr>
              <w:spacing w:before="60" w:after="60" w:line="360" w:lineRule="exact"/>
              <w:jc w:val="both"/>
              <w:rPr>
                <w:rFonts w:ascii="Times New Roman" w:eastAsia="Times New Roman" w:hAnsi="Times New Roman" w:cs="Times New Roman"/>
                <w:sz w:val="28"/>
                <w:szCs w:val="28"/>
              </w:rPr>
            </w:pPr>
            <w:r w:rsidRPr="006545AD">
              <w:rPr>
                <w:sz w:val="26"/>
                <w:szCs w:val="26"/>
              </w:rPr>
              <w:t>×</w:t>
            </w:r>
            <w:r w:rsidR="003B417D" w:rsidRPr="006545AD">
              <w:rPr>
                <w:rFonts w:ascii="Times New Roman" w:eastAsia="Times New Roman" w:hAnsi="Times New Roman" w:cs="Times New Roman"/>
                <w:sz w:val="28"/>
                <w:szCs w:val="28"/>
              </w:rPr>
              <w:t xml:space="preserve"> 100</w:t>
            </w:r>
          </w:p>
        </w:tc>
      </w:tr>
      <w:tr w:rsidR="003B417D" w:rsidRPr="006545AD" w14:paraId="11E77DEC" w14:textId="77777777" w:rsidTr="005725BC">
        <w:trPr>
          <w:trHeight w:val="724"/>
          <w:jc w:val="center"/>
        </w:trPr>
        <w:tc>
          <w:tcPr>
            <w:tcW w:w="1407" w:type="pct"/>
            <w:vMerge/>
            <w:tcBorders>
              <w:top w:val="nil"/>
              <w:left w:val="nil"/>
              <w:bottom w:val="nil"/>
              <w:right w:val="nil"/>
            </w:tcBorders>
            <w:vAlign w:val="center"/>
          </w:tcPr>
          <w:p w14:paraId="263F5318"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234" w:type="pct"/>
            <w:vMerge/>
            <w:tcBorders>
              <w:top w:val="nil"/>
              <w:left w:val="nil"/>
              <w:bottom w:val="nil"/>
              <w:right w:val="nil"/>
            </w:tcBorders>
            <w:vAlign w:val="center"/>
          </w:tcPr>
          <w:p w14:paraId="66639788"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2867" w:type="pct"/>
            <w:tcBorders>
              <w:top w:val="single" w:sz="4" w:space="0" w:color="auto"/>
              <w:left w:val="nil"/>
              <w:bottom w:val="nil"/>
              <w:right w:val="nil"/>
            </w:tcBorders>
            <w:vAlign w:val="center"/>
          </w:tcPr>
          <w:p w14:paraId="15B9381E" w14:textId="60E4F004" w:rsidR="003B417D" w:rsidRPr="006545AD" w:rsidRDefault="003B417D"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số xe buýt mới tại đô thị đặc biệt và đô thị </w:t>
            </w:r>
            <w:r w:rsidR="008C15B1" w:rsidRPr="006545AD">
              <w:rPr>
                <w:rFonts w:ascii="Times New Roman" w:eastAsia="Times New Roman" w:hAnsi="Times New Roman" w:cs="Times New Roman"/>
                <w:sz w:val="28"/>
                <w:szCs w:val="28"/>
              </w:rPr>
              <w:t>loại I</w:t>
            </w:r>
          </w:p>
        </w:tc>
        <w:tc>
          <w:tcPr>
            <w:tcW w:w="492" w:type="pct"/>
            <w:vMerge/>
            <w:tcBorders>
              <w:top w:val="nil"/>
              <w:left w:val="nil"/>
              <w:bottom w:val="nil"/>
              <w:right w:val="nil"/>
            </w:tcBorders>
            <w:vAlign w:val="center"/>
          </w:tcPr>
          <w:p w14:paraId="7DAA861A"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r>
    </w:tbl>
    <w:p w14:paraId="78D67E8E" w14:textId="241BB560" w:rsidR="003B417D" w:rsidRPr="006545AD" w:rsidRDefault="003B417D" w:rsidP="005725BC">
      <w:pPr>
        <w:spacing w:line="360" w:lineRule="exact"/>
        <w:jc w:val="both"/>
        <w:rPr>
          <w:rFonts w:ascii="Times New Roman" w:eastAsia="Times New Roman" w:hAnsi="Times New Roman" w:cs="Times New Roman"/>
          <w:sz w:val="28"/>
          <w:szCs w:val="28"/>
        </w:rPr>
      </w:pPr>
    </w:p>
    <w:tbl>
      <w:tblPr>
        <w:tblStyle w:val="TableGrid"/>
        <w:tblW w:w="5000" w:type="pct"/>
        <w:jc w:val="center"/>
        <w:tblLook w:val="04A0" w:firstRow="1" w:lastRow="0" w:firstColumn="1" w:lastColumn="0" w:noHBand="0" w:noVBand="1"/>
      </w:tblPr>
      <w:tblGrid>
        <w:gridCol w:w="2552"/>
        <w:gridCol w:w="425"/>
        <w:gridCol w:w="5204"/>
        <w:gridCol w:w="891"/>
      </w:tblGrid>
      <w:tr w:rsidR="003B417D" w:rsidRPr="006545AD" w14:paraId="6B89E991" w14:textId="77777777" w:rsidTr="005725BC">
        <w:trPr>
          <w:trHeight w:val="1315"/>
          <w:jc w:val="center"/>
        </w:trPr>
        <w:tc>
          <w:tcPr>
            <w:tcW w:w="1407" w:type="pct"/>
            <w:vMerge w:val="restart"/>
            <w:tcBorders>
              <w:top w:val="nil"/>
              <w:left w:val="nil"/>
              <w:bottom w:val="nil"/>
              <w:right w:val="nil"/>
            </w:tcBorders>
            <w:vAlign w:val="center"/>
          </w:tcPr>
          <w:p w14:paraId="57C1F3C9" w14:textId="49D8A7B6" w:rsidR="003B417D" w:rsidRPr="006545AD" w:rsidRDefault="003B417D" w:rsidP="0063652A">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Tỷ lệ xe buýt mới sử dụng năng lượng xanh so với tổng xe buýt mới tại các đô thị </w:t>
            </w:r>
            <w:r w:rsidR="008C15B1" w:rsidRPr="006545AD">
              <w:rPr>
                <w:rFonts w:ascii="Times New Roman" w:eastAsia="Times New Roman" w:hAnsi="Times New Roman" w:cs="Times New Roman"/>
                <w:sz w:val="28"/>
                <w:szCs w:val="28"/>
              </w:rPr>
              <w:t>loại I</w:t>
            </w:r>
            <w:r w:rsidRPr="006545AD">
              <w:rPr>
                <w:rFonts w:ascii="Times New Roman" w:eastAsia="Times New Roman" w:hAnsi="Times New Roman" w:cs="Times New Roman"/>
                <w:sz w:val="28"/>
                <w:szCs w:val="28"/>
              </w:rPr>
              <w:t xml:space="preserve"> (%)</w:t>
            </w:r>
          </w:p>
        </w:tc>
        <w:tc>
          <w:tcPr>
            <w:tcW w:w="234" w:type="pct"/>
            <w:vMerge w:val="restart"/>
            <w:tcBorders>
              <w:top w:val="nil"/>
              <w:left w:val="nil"/>
              <w:bottom w:val="nil"/>
              <w:right w:val="nil"/>
            </w:tcBorders>
            <w:vAlign w:val="center"/>
          </w:tcPr>
          <w:p w14:paraId="46B25CEE"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868" w:type="pct"/>
            <w:tcBorders>
              <w:top w:val="nil"/>
              <w:left w:val="nil"/>
              <w:bottom w:val="single" w:sz="4" w:space="0" w:color="auto"/>
              <w:right w:val="nil"/>
            </w:tcBorders>
            <w:vAlign w:val="center"/>
          </w:tcPr>
          <w:p w14:paraId="43A3FA6A" w14:textId="17A6DE4A" w:rsidR="003B417D" w:rsidRPr="006545AD" w:rsidRDefault="003B417D"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Số xe buýt mới sử dụng năng lượng xanh tại đô thị đặc biệt và đô thị </w:t>
            </w:r>
            <w:r w:rsidR="008C15B1" w:rsidRPr="006545AD">
              <w:rPr>
                <w:rFonts w:ascii="Times New Roman" w:eastAsia="Times New Roman" w:hAnsi="Times New Roman" w:cs="Times New Roman"/>
                <w:sz w:val="28"/>
                <w:szCs w:val="28"/>
              </w:rPr>
              <w:t>loại I</w:t>
            </w:r>
          </w:p>
        </w:tc>
        <w:tc>
          <w:tcPr>
            <w:tcW w:w="491" w:type="pct"/>
            <w:vMerge w:val="restart"/>
            <w:tcBorders>
              <w:top w:val="nil"/>
              <w:left w:val="nil"/>
              <w:bottom w:val="nil"/>
              <w:right w:val="nil"/>
            </w:tcBorders>
            <w:vAlign w:val="center"/>
          </w:tcPr>
          <w:p w14:paraId="04CA9A30" w14:textId="77AA894E" w:rsidR="003B417D" w:rsidRPr="006545AD" w:rsidRDefault="00BE7109" w:rsidP="00923EF8">
            <w:pPr>
              <w:spacing w:before="60" w:after="60" w:line="360" w:lineRule="exact"/>
              <w:jc w:val="both"/>
              <w:rPr>
                <w:rFonts w:ascii="Times New Roman" w:eastAsia="Times New Roman" w:hAnsi="Times New Roman" w:cs="Times New Roman"/>
                <w:sz w:val="28"/>
                <w:szCs w:val="28"/>
              </w:rPr>
            </w:pPr>
            <w:r w:rsidRPr="006545AD">
              <w:rPr>
                <w:sz w:val="26"/>
                <w:szCs w:val="26"/>
              </w:rPr>
              <w:t>×</w:t>
            </w:r>
            <w:r w:rsidR="003B417D" w:rsidRPr="006545AD">
              <w:rPr>
                <w:rFonts w:ascii="Times New Roman" w:eastAsia="Times New Roman" w:hAnsi="Times New Roman" w:cs="Times New Roman"/>
                <w:sz w:val="28"/>
                <w:szCs w:val="28"/>
              </w:rPr>
              <w:t xml:space="preserve"> 100</w:t>
            </w:r>
          </w:p>
        </w:tc>
      </w:tr>
      <w:tr w:rsidR="003B417D" w:rsidRPr="006545AD" w14:paraId="119B279F" w14:textId="77777777" w:rsidTr="005725BC">
        <w:trPr>
          <w:trHeight w:val="1184"/>
          <w:jc w:val="center"/>
        </w:trPr>
        <w:tc>
          <w:tcPr>
            <w:tcW w:w="1407" w:type="pct"/>
            <w:vMerge/>
            <w:tcBorders>
              <w:top w:val="nil"/>
              <w:left w:val="nil"/>
              <w:bottom w:val="nil"/>
              <w:right w:val="nil"/>
            </w:tcBorders>
            <w:vAlign w:val="center"/>
          </w:tcPr>
          <w:p w14:paraId="24D2607B"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234" w:type="pct"/>
            <w:vMerge/>
            <w:tcBorders>
              <w:top w:val="nil"/>
              <w:left w:val="nil"/>
              <w:bottom w:val="nil"/>
              <w:right w:val="nil"/>
            </w:tcBorders>
            <w:vAlign w:val="center"/>
          </w:tcPr>
          <w:p w14:paraId="35CC0B74"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2868" w:type="pct"/>
            <w:tcBorders>
              <w:top w:val="single" w:sz="4" w:space="0" w:color="auto"/>
              <w:left w:val="nil"/>
              <w:bottom w:val="nil"/>
              <w:right w:val="nil"/>
            </w:tcBorders>
            <w:vAlign w:val="center"/>
          </w:tcPr>
          <w:p w14:paraId="6FE02087" w14:textId="64628007" w:rsidR="003B417D" w:rsidRPr="006545AD" w:rsidRDefault="003B417D"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số xe buýt mới tại đô thị đặc biệt và đô thị </w:t>
            </w:r>
            <w:r w:rsidR="008C15B1" w:rsidRPr="006545AD">
              <w:rPr>
                <w:rFonts w:ascii="Times New Roman" w:eastAsia="Times New Roman" w:hAnsi="Times New Roman" w:cs="Times New Roman"/>
                <w:sz w:val="28"/>
                <w:szCs w:val="28"/>
              </w:rPr>
              <w:t>loại I</w:t>
            </w:r>
          </w:p>
        </w:tc>
        <w:tc>
          <w:tcPr>
            <w:tcW w:w="491" w:type="pct"/>
            <w:vMerge/>
            <w:tcBorders>
              <w:top w:val="nil"/>
              <w:left w:val="nil"/>
              <w:bottom w:val="nil"/>
              <w:right w:val="nil"/>
            </w:tcBorders>
            <w:vAlign w:val="center"/>
          </w:tcPr>
          <w:p w14:paraId="044CCE83"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r>
    </w:tbl>
    <w:p w14:paraId="084BC2CD" w14:textId="77777777" w:rsidR="00F408D5" w:rsidRPr="006545AD" w:rsidRDefault="006E7C70" w:rsidP="005725BC">
      <w:pPr>
        <w:spacing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2. Phân tổ chủ yếu </w:t>
      </w:r>
    </w:p>
    <w:p w14:paraId="5D7CE34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đô thị đặc biệt, đô thị loại I</w:t>
      </w:r>
      <w:r w:rsidR="008725E6" w:rsidRPr="006545AD">
        <w:rPr>
          <w:rFonts w:ascii="Times New Roman" w:eastAsia="Times New Roman" w:hAnsi="Times New Roman" w:cs="Times New Roman"/>
          <w:sz w:val="28"/>
          <w:szCs w:val="28"/>
        </w:rPr>
        <w:t>;</w:t>
      </w:r>
    </w:p>
    <w:p w14:paraId="1B26F19C" w14:textId="7A3050C2" w:rsidR="00F408D5" w:rsidRPr="006545AD" w:rsidRDefault="006E7C70" w:rsidP="00923EF8">
      <w:pPr>
        <w:spacing w:before="60" w:after="60" w:line="360" w:lineRule="exact"/>
        <w:ind w:firstLine="720"/>
        <w:jc w:val="both"/>
        <w:rPr>
          <w:rFonts w:ascii="Times New Roman" w:eastAsia="Times New Roman" w:hAnsi="Times New Roman" w:cs="Times New Roman"/>
          <w:spacing w:val="6"/>
          <w:sz w:val="28"/>
          <w:szCs w:val="28"/>
        </w:rPr>
      </w:pPr>
      <w:r w:rsidRPr="006545AD">
        <w:rPr>
          <w:rFonts w:ascii="Times New Roman" w:eastAsia="Times New Roman" w:hAnsi="Times New Roman" w:cs="Times New Roman"/>
          <w:spacing w:val="6"/>
          <w:sz w:val="28"/>
          <w:szCs w:val="28"/>
        </w:rPr>
        <w:t>- Loại năng lượng xanh (điện, nhiên liệu sạch n</w:t>
      </w:r>
      <w:r w:rsidR="008725E6" w:rsidRPr="006545AD">
        <w:rPr>
          <w:rFonts w:ascii="Times New Roman" w:eastAsia="Times New Roman" w:hAnsi="Times New Roman" w:cs="Times New Roman"/>
          <w:spacing w:val="6"/>
          <w:sz w:val="28"/>
          <w:szCs w:val="28"/>
        </w:rPr>
        <w:t>hư L</w:t>
      </w:r>
      <w:r w:rsidR="00A671B6" w:rsidRPr="006545AD">
        <w:rPr>
          <w:rFonts w:ascii="Times New Roman" w:eastAsia="Times New Roman" w:hAnsi="Times New Roman" w:cs="Times New Roman"/>
          <w:spacing w:val="6"/>
          <w:sz w:val="28"/>
          <w:szCs w:val="28"/>
        </w:rPr>
        <w:t>N</w:t>
      </w:r>
      <w:r w:rsidR="008725E6" w:rsidRPr="006545AD">
        <w:rPr>
          <w:rFonts w:ascii="Times New Roman" w:eastAsia="Times New Roman" w:hAnsi="Times New Roman" w:cs="Times New Roman"/>
          <w:spacing w:val="6"/>
          <w:sz w:val="28"/>
          <w:szCs w:val="28"/>
        </w:rPr>
        <w:t>G, CNG</w:t>
      </w:r>
      <w:r w:rsidR="00992BD9" w:rsidRPr="006545AD">
        <w:rPr>
          <w:rFonts w:ascii="Times New Roman" w:eastAsia="Times New Roman" w:hAnsi="Times New Roman" w:cs="Times New Roman"/>
          <w:spacing w:val="6"/>
          <w:sz w:val="28"/>
          <w:szCs w:val="28"/>
        </w:rPr>
        <w:t>…</w:t>
      </w:r>
      <w:r w:rsidR="002D50B0" w:rsidRPr="006545AD">
        <w:rPr>
          <w:rFonts w:ascii="Times New Roman" w:eastAsia="Times New Roman" w:hAnsi="Times New Roman" w:cs="Times New Roman"/>
          <w:spacing w:val="6"/>
          <w:sz w:val="28"/>
          <w:szCs w:val="28"/>
        </w:rPr>
        <w:t>)</w:t>
      </w:r>
    </w:p>
    <w:p w14:paraId="400F9B9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2 năm</w:t>
      </w:r>
    </w:p>
    <w:p w14:paraId="31D14A0C" w14:textId="77777777" w:rsidR="005F61CC"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w:t>
      </w:r>
    </w:p>
    <w:p w14:paraId="72A3E256" w14:textId="4CAD9D93" w:rsidR="00F408D5" w:rsidRPr="006545AD" w:rsidRDefault="00875241" w:rsidP="00923EF8">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xml:space="preserve">- </w:t>
      </w:r>
      <w:r w:rsidR="005A7F64" w:rsidRPr="006545AD">
        <w:rPr>
          <w:rFonts w:ascii="Times New Roman" w:eastAsia="Times New Roman" w:hAnsi="Times New Roman" w:cs="Times New Roman"/>
          <w:sz w:val="28"/>
          <w:szCs w:val="28"/>
          <w:lang w:val="en-US"/>
        </w:rPr>
        <w:t>Dữ liệu hành chính</w:t>
      </w:r>
      <w:r w:rsidRPr="006545AD">
        <w:rPr>
          <w:rFonts w:ascii="Times New Roman" w:eastAsia="Times New Roman" w:hAnsi="Times New Roman" w:cs="Times New Roman"/>
          <w:sz w:val="28"/>
          <w:szCs w:val="28"/>
          <w:lang w:val="en-US"/>
        </w:rPr>
        <w:t xml:space="preserve"> Bộ</w:t>
      </w:r>
      <w:r w:rsidR="005A7F64" w:rsidRPr="006545AD">
        <w:rPr>
          <w:rFonts w:ascii="Times New Roman" w:eastAsia="Times New Roman" w:hAnsi="Times New Roman" w:cs="Times New Roman"/>
          <w:sz w:val="28"/>
          <w:szCs w:val="28"/>
          <w:lang w:val="en-US"/>
        </w:rPr>
        <w:t xml:space="preserve"> Giao thông </w:t>
      </w:r>
      <w:r w:rsidR="008A0E6C" w:rsidRPr="006545AD">
        <w:rPr>
          <w:rFonts w:ascii="Times New Roman" w:eastAsia="Times New Roman" w:hAnsi="Times New Roman" w:cs="Times New Roman"/>
          <w:sz w:val="28"/>
          <w:szCs w:val="28"/>
          <w:lang w:val="en-US"/>
        </w:rPr>
        <w:t>v</w:t>
      </w:r>
      <w:r w:rsidR="005A7F64" w:rsidRPr="006545AD">
        <w:rPr>
          <w:rFonts w:ascii="Times New Roman" w:eastAsia="Times New Roman" w:hAnsi="Times New Roman" w:cs="Times New Roman"/>
          <w:sz w:val="28"/>
          <w:szCs w:val="28"/>
          <w:lang w:val="en-US"/>
        </w:rPr>
        <w:t>ận tải</w:t>
      </w:r>
      <w:r w:rsidRPr="006545AD">
        <w:rPr>
          <w:rFonts w:ascii="Times New Roman" w:eastAsia="Times New Roman" w:hAnsi="Times New Roman" w:cs="Times New Roman"/>
          <w:sz w:val="28"/>
          <w:szCs w:val="28"/>
          <w:lang w:val="en-US"/>
        </w:rPr>
        <w:t>;</w:t>
      </w:r>
    </w:p>
    <w:p w14:paraId="325EDE30" w14:textId="5AAF86EE" w:rsidR="00875241" w:rsidRPr="006545AD" w:rsidRDefault="00875241" w:rsidP="00923EF8">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Chế độ báo cáo.</w:t>
      </w:r>
    </w:p>
    <w:p w14:paraId="142EE76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52B18D1A" w14:textId="3B82E23A" w:rsidR="005A7F64" w:rsidRPr="006545AD" w:rsidRDefault="005A7F64" w:rsidP="005A7F64">
      <w:pPr>
        <w:spacing w:before="60" w:after="60" w:line="36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xml:space="preserve">- Chủ trì: Bộ Giao thông </w:t>
      </w:r>
      <w:r w:rsidR="008A0E6C" w:rsidRPr="006545AD">
        <w:rPr>
          <w:rFonts w:ascii="Times New Roman" w:eastAsia="Times New Roman" w:hAnsi="Times New Roman" w:cs="Times New Roman"/>
          <w:sz w:val="28"/>
          <w:szCs w:val="28"/>
          <w:lang w:val="en-US"/>
        </w:rPr>
        <w:t>v</w:t>
      </w:r>
      <w:r w:rsidRPr="006545AD">
        <w:rPr>
          <w:rFonts w:ascii="Times New Roman" w:eastAsia="Times New Roman" w:hAnsi="Times New Roman" w:cs="Times New Roman"/>
          <w:sz w:val="28"/>
          <w:szCs w:val="28"/>
          <w:lang w:val="en-US"/>
        </w:rPr>
        <w:t>ận tải</w:t>
      </w:r>
      <w:r w:rsidR="000D5F2E" w:rsidRPr="006545AD">
        <w:rPr>
          <w:rFonts w:ascii="Times New Roman" w:eastAsia="Times New Roman" w:hAnsi="Times New Roman" w:cs="Times New Roman"/>
          <w:sz w:val="28"/>
          <w:szCs w:val="28"/>
          <w:lang w:val="en-US"/>
        </w:rPr>
        <w:t>;</w:t>
      </w:r>
    </w:p>
    <w:p w14:paraId="007F107E" w14:textId="2A971FAF" w:rsidR="005A7F64" w:rsidRPr="006545AD" w:rsidRDefault="005A7F64" w:rsidP="005A7F64">
      <w:pPr>
        <w:spacing w:before="60" w:after="60" w:line="36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xml:space="preserve">- Phối hợp: </w:t>
      </w:r>
      <w:r w:rsidR="0063652A" w:rsidRPr="006545AD">
        <w:rPr>
          <w:rFonts w:ascii="Times New Roman" w:eastAsia="Times New Roman" w:hAnsi="Times New Roman" w:cs="Times New Roman"/>
          <w:sz w:val="28"/>
          <w:szCs w:val="28"/>
          <w:lang w:val="en-US"/>
        </w:rPr>
        <w:t xml:space="preserve">Ủy ban Nhân dân </w:t>
      </w:r>
      <w:r w:rsidRPr="006545AD">
        <w:rPr>
          <w:rFonts w:ascii="Times New Roman" w:eastAsia="Times New Roman" w:hAnsi="Times New Roman" w:cs="Times New Roman"/>
          <w:sz w:val="28"/>
          <w:szCs w:val="28"/>
          <w:lang w:val="en-US"/>
        </w:rPr>
        <w:t>tỉnh, thành phố</w:t>
      </w:r>
      <w:r w:rsidR="0063652A" w:rsidRPr="006545AD">
        <w:rPr>
          <w:rFonts w:ascii="Times New Roman" w:eastAsia="Times New Roman" w:hAnsi="Times New Roman" w:cs="Times New Roman"/>
          <w:sz w:val="28"/>
          <w:szCs w:val="28"/>
          <w:lang w:val="en-US"/>
        </w:rPr>
        <w:t xml:space="preserve"> trực thuộc Trung ương</w:t>
      </w:r>
      <w:r w:rsidR="00FE1893" w:rsidRPr="006545AD">
        <w:rPr>
          <w:rFonts w:ascii="Times New Roman" w:eastAsia="Times New Roman" w:hAnsi="Times New Roman" w:cs="Times New Roman"/>
          <w:sz w:val="28"/>
          <w:szCs w:val="28"/>
          <w:lang w:val="en-US"/>
        </w:rPr>
        <w:t xml:space="preserve"> (là các đô thị đặc biệt, đô thị loại I).</w:t>
      </w:r>
    </w:p>
    <w:p w14:paraId="25A8506C" w14:textId="0808F799"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2.7</w:t>
      </w:r>
      <w:r w:rsidR="00D473D2"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các phương tiện giao thông cơ giới đường bộ sử dụng năng lượng xanh so với tổng số các phương tiện giao thông cơ giới đường bộ đang lưu hành</w:t>
      </w:r>
    </w:p>
    <w:p w14:paraId="44155A05" w14:textId="18C20467" w:rsidR="00F408D5" w:rsidRPr="006545AD" w:rsidRDefault="00BD7F28" w:rsidP="009E1776">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r w:rsidR="006E7C70" w:rsidRPr="006545AD">
        <w:rPr>
          <w:rFonts w:ascii="Times New Roman" w:eastAsia="Times New Roman" w:hAnsi="Times New Roman" w:cs="Times New Roman"/>
          <w:sz w:val="28"/>
          <w:szCs w:val="28"/>
        </w:rPr>
        <w:t xml:space="preserve"> </w:t>
      </w:r>
    </w:p>
    <w:p w14:paraId="541BC585" w14:textId="662FA128" w:rsidR="005A7F64" w:rsidRPr="006545AD" w:rsidRDefault="00923EF8" w:rsidP="005725BC">
      <w:pPr>
        <w:spacing w:before="60" w:after="6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rPr>
        <w:tab/>
      </w:r>
      <w:r w:rsidR="005A7F64" w:rsidRPr="006545AD">
        <w:rPr>
          <w:rFonts w:ascii="Times New Roman" w:eastAsia="Times New Roman" w:hAnsi="Times New Roman" w:cs="Times New Roman"/>
          <w:sz w:val="28"/>
          <w:szCs w:val="28"/>
          <w:lang w:val="en-US"/>
        </w:rPr>
        <w:t>Phương tiện giao thông cơ giới đường bộ sử dụng năng lượng xanh gồm xe ô tô, xe mô tô, xe gắn máy vận hành bằng điện</w:t>
      </w:r>
      <w:r w:rsidR="0000319A" w:rsidRPr="006545AD">
        <w:rPr>
          <w:rFonts w:ascii="Times New Roman" w:eastAsia="Times New Roman" w:hAnsi="Times New Roman" w:cs="Times New Roman"/>
          <w:sz w:val="28"/>
          <w:szCs w:val="28"/>
          <w:lang w:val="en-US"/>
        </w:rPr>
        <w:t xml:space="preserve"> </w:t>
      </w:r>
      <w:r w:rsidR="0000319A" w:rsidRPr="009E1776">
        <w:rPr>
          <w:rFonts w:ascii="Times New Roman" w:eastAsia="Times New Roman" w:hAnsi="Times New Roman" w:cs="Times New Roman"/>
          <w:sz w:val="28"/>
          <w:szCs w:val="28"/>
          <w:lang w:val="en-US"/>
        </w:rPr>
        <w:t>(không phân biệt từ nguồn nào)</w:t>
      </w:r>
      <w:r w:rsidR="005A7F64" w:rsidRPr="006545AD">
        <w:rPr>
          <w:rFonts w:ascii="Times New Roman" w:eastAsia="Times New Roman" w:hAnsi="Times New Roman" w:cs="Times New Roman"/>
          <w:sz w:val="28"/>
          <w:szCs w:val="28"/>
          <w:lang w:val="en-US"/>
        </w:rPr>
        <w:t>.</w:t>
      </w:r>
    </w:p>
    <w:p w14:paraId="5857A2CD" w14:textId="4C466F25" w:rsidR="00F408D5" w:rsidRPr="006545AD" w:rsidRDefault="00923EF8" w:rsidP="005725BC">
      <w:pPr>
        <w:spacing w:before="60" w:after="6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5A7F64" w:rsidRPr="006545AD">
        <w:rPr>
          <w:rFonts w:ascii="Times New Roman" w:eastAsia="Times New Roman" w:hAnsi="Times New Roman" w:cs="Times New Roman"/>
          <w:bCs/>
          <w:sz w:val="28"/>
          <w:szCs w:val="28"/>
          <w:lang w:val="en-US"/>
        </w:rPr>
        <w:t xml:space="preserve">Tỷ lệ các phương tiện giao thông cơ giới đường bộ sử dụng năng lượng xanh so với tổng số các phương tiện giao thông cơ giới đường bộ đang lưu hành là tỷ lệ phần trăm giữa tổng số </w:t>
      </w:r>
      <w:r w:rsidR="005A7F64" w:rsidRPr="006545AD">
        <w:rPr>
          <w:rFonts w:ascii="Times New Roman" w:eastAsia="Times New Roman" w:hAnsi="Times New Roman" w:cs="Times New Roman"/>
          <w:sz w:val="28"/>
          <w:szCs w:val="28"/>
          <w:lang w:val="en-US"/>
        </w:rPr>
        <w:t>ô tô, xe mô tô, xe gắn máy vận hành bằng điện</w:t>
      </w:r>
      <w:r w:rsidR="000E5E7E" w:rsidRPr="006545AD">
        <w:rPr>
          <w:rFonts w:ascii="Times New Roman" w:eastAsia="Times New Roman" w:hAnsi="Times New Roman" w:cs="Times New Roman"/>
          <w:sz w:val="28"/>
          <w:szCs w:val="28"/>
          <w:lang w:val="en-US"/>
        </w:rPr>
        <w:t xml:space="preserve"> </w:t>
      </w:r>
      <w:r w:rsidR="0000319A" w:rsidRPr="006545AD">
        <w:rPr>
          <w:rFonts w:ascii="Times New Roman" w:eastAsia="Times New Roman" w:hAnsi="Times New Roman" w:cs="Times New Roman"/>
          <w:sz w:val="28"/>
          <w:szCs w:val="28"/>
          <w:lang w:val="en-US"/>
        </w:rPr>
        <w:t xml:space="preserve">(không phân biệt từ nguồn nào) </w:t>
      </w:r>
      <w:r w:rsidR="005A7F64" w:rsidRPr="006545AD">
        <w:rPr>
          <w:rFonts w:ascii="Times New Roman" w:eastAsia="Times New Roman" w:hAnsi="Times New Roman" w:cs="Times New Roman"/>
          <w:sz w:val="28"/>
          <w:szCs w:val="28"/>
          <w:lang w:val="en-US"/>
        </w:rPr>
        <w:t xml:space="preserve">so với tổng số </w:t>
      </w:r>
      <w:r w:rsidR="002E4693" w:rsidRPr="006545AD">
        <w:rPr>
          <w:rFonts w:ascii="Times New Roman" w:eastAsia="Times New Roman" w:hAnsi="Times New Roman" w:cs="Times New Roman"/>
          <w:sz w:val="28"/>
          <w:szCs w:val="28"/>
          <w:lang w:val="en-US"/>
        </w:rPr>
        <w:t>phương tiện giao thông</w:t>
      </w:r>
      <w:r w:rsidR="005A7F64" w:rsidRPr="006545AD">
        <w:rPr>
          <w:rFonts w:ascii="Times New Roman" w:eastAsia="Times New Roman" w:hAnsi="Times New Roman" w:cs="Times New Roman"/>
          <w:sz w:val="28"/>
          <w:szCs w:val="28"/>
          <w:lang w:val="en-US"/>
        </w:rPr>
        <w:t xml:space="preserve"> cơ giới đường bộ đang lưu hành.</w:t>
      </w:r>
    </w:p>
    <w:p w14:paraId="350D7527" w14:textId="77777777" w:rsidR="00F408D5" w:rsidRPr="006545AD" w:rsidRDefault="006E7C70" w:rsidP="005725BC">
      <w:pPr>
        <w:spacing w:before="60" w:after="60"/>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p>
    <w:tbl>
      <w:tblPr>
        <w:tblStyle w:val="TableGrid"/>
        <w:tblW w:w="5000" w:type="pct"/>
        <w:jc w:val="center"/>
        <w:tblLook w:val="04A0" w:firstRow="1" w:lastRow="0" w:firstColumn="1" w:lastColumn="0" w:noHBand="0" w:noVBand="1"/>
      </w:tblPr>
      <w:tblGrid>
        <w:gridCol w:w="3548"/>
        <w:gridCol w:w="425"/>
        <w:gridCol w:w="4257"/>
        <w:gridCol w:w="842"/>
      </w:tblGrid>
      <w:tr w:rsidR="003B417D" w:rsidRPr="006545AD" w14:paraId="23D6D207" w14:textId="77777777" w:rsidTr="00376CC5">
        <w:trPr>
          <w:trHeight w:val="1150"/>
          <w:jc w:val="center"/>
        </w:trPr>
        <w:tc>
          <w:tcPr>
            <w:tcW w:w="1956" w:type="pct"/>
            <w:vMerge w:val="restart"/>
            <w:tcBorders>
              <w:top w:val="nil"/>
              <w:left w:val="nil"/>
              <w:bottom w:val="nil"/>
              <w:right w:val="nil"/>
            </w:tcBorders>
            <w:vAlign w:val="center"/>
          </w:tcPr>
          <w:p w14:paraId="60543B79" w14:textId="77777777" w:rsidR="003B417D" w:rsidRPr="006545AD" w:rsidRDefault="003B417D" w:rsidP="005725BC">
            <w:pPr>
              <w:spacing w:before="40" w:after="40"/>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các phương tiện giao thông cơ giới đường bộ sử dụng năng lượng xanh so với tổng số các phương tiện giao thông cơ giới đường bộ đang lưu hành</w:t>
            </w:r>
            <w:r w:rsidR="008725E6" w:rsidRPr="006545AD">
              <w:rPr>
                <w:rFonts w:ascii="Times New Roman" w:eastAsia="Times New Roman" w:hAnsi="Times New Roman" w:cs="Times New Roman"/>
                <w:sz w:val="28"/>
                <w:szCs w:val="28"/>
              </w:rPr>
              <w:t xml:space="preserve"> (%)</w:t>
            </w:r>
          </w:p>
        </w:tc>
        <w:tc>
          <w:tcPr>
            <w:tcW w:w="234" w:type="pct"/>
            <w:vMerge w:val="restart"/>
            <w:tcBorders>
              <w:top w:val="nil"/>
              <w:left w:val="nil"/>
              <w:bottom w:val="nil"/>
              <w:right w:val="nil"/>
            </w:tcBorders>
            <w:vAlign w:val="center"/>
          </w:tcPr>
          <w:p w14:paraId="1A7A76CA" w14:textId="77777777" w:rsidR="003B417D" w:rsidRPr="006545AD" w:rsidRDefault="003B417D" w:rsidP="005725BC">
            <w:pPr>
              <w:spacing w:before="40" w:after="4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346" w:type="pct"/>
            <w:tcBorders>
              <w:top w:val="nil"/>
              <w:left w:val="nil"/>
              <w:bottom w:val="single" w:sz="4" w:space="0" w:color="auto"/>
              <w:right w:val="nil"/>
            </w:tcBorders>
            <w:vAlign w:val="center"/>
          </w:tcPr>
          <w:p w14:paraId="672BD116" w14:textId="5EF0B91D" w:rsidR="003B417D" w:rsidRPr="006545AD" w:rsidRDefault="009D431D" w:rsidP="005725BC">
            <w:pPr>
              <w:spacing w:before="40" w:after="40"/>
              <w:jc w:val="center"/>
              <w:rPr>
                <w:rFonts w:ascii="Times New Roman" w:eastAsia="Times New Roman" w:hAnsi="Times New Roman" w:cs="Times New Roman"/>
                <w:sz w:val="28"/>
                <w:szCs w:val="28"/>
              </w:rPr>
            </w:pPr>
            <w:r w:rsidRPr="006545AD">
              <w:rPr>
                <w:rFonts w:ascii="Times New Roman" w:eastAsia="Times New Roman" w:hAnsi="Times New Roman" w:cs="Times New Roman"/>
                <w:bCs/>
                <w:sz w:val="28"/>
                <w:szCs w:val="28"/>
              </w:rPr>
              <w:t xml:space="preserve">Tổng số </w:t>
            </w:r>
            <w:r w:rsidR="00992BD9" w:rsidRPr="006545AD">
              <w:rPr>
                <w:rFonts w:ascii="Times New Roman" w:eastAsia="Times New Roman" w:hAnsi="Times New Roman" w:cs="Times New Roman"/>
                <w:bCs/>
                <w:sz w:val="28"/>
                <w:szCs w:val="28"/>
              </w:rPr>
              <w:t xml:space="preserve">xe </w:t>
            </w:r>
            <w:r w:rsidRPr="006545AD">
              <w:rPr>
                <w:rFonts w:ascii="Times New Roman" w:eastAsia="Times New Roman" w:hAnsi="Times New Roman" w:cs="Times New Roman"/>
                <w:sz w:val="28"/>
                <w:szCs w:val="28"/>
              </w:rPr>
              <w:t>ô tô</w:t>
            </w:r>
            <w:r w:rsidR="00563C02" w:rsidRPr="006545AD">
              <w:rPr>
                <w:rFonts w:ascii="Times New Roman" w:eastAsia="Times New Roman" w:hAnsi="Times New Roman" w:cs="Times New Roman"/>
                <w:sz w:val="28"/>
                <w:szCs w:val="28"/>
              </w:rPr>
              <w:t>/</w:t>
            </w:r>
            <w:r w:rsidRPr="006545AD">
              <w:rPr>
                <w:rFonts w:ascii="Times New Roman" w:eastAsia="Times New Roman" w:hAnsi="Times New Roman" w:cs="Times New Roman"/>
                <w:sz w:val="28"/>
                <w:szCs w:val="28"/>
              </w:rPr>
              <w:t>xe mô tô</w:t>
            </w:r>
            <w:r w:rsidR="00563C02" w:rsidRPr="006545AD">
              <w:rPr>
                <w:rFonts w:ascii="Times New Roman" w:eastAsia="Times New Roman" w:hAnsi="Times New Roman" w:cs="Times New Roman"/>
                <w:sz w:val="28"/>
                <w:szCs w:val="28"/>
              </w:rPr>
              <w:t>/</w:t>
            </w:r>
            <w:r w:rsidRPr="006545AD">
              <w:rPr>
                <w:rFonts w:ascii="Times New Roman" w:eastAsia="Times New Roman" w:hAnsi="Times New Roman" w:cs="Times New Roman"/>
                <w:sz w:val="28"/>
                <w:szCs w:val="28"/>
              </w:rPr>
              <w:t xml:space="preserve">xe gắn máy vận hành bằng điện </w:t>
            </w:r>
          </w:p>
        </w:tc>
        <w:tc>
          <w:tcPr>
            <w:tcW w:w="465" w:type="pct"/>
            <w:vMerge w:val="restart"/>
            <w:tcBorders>
              <w:top w:val="nil"/>
              <w:left w:val="nil"/>
              <w:bottom w:val="nil"/>
              <w:right w:val="nil"/>
            </w:tcBorders>
            <w:vAlign w:val="center"/>
          </w:tcPr>
          <w:p w14:paraId="1701318E" w14:textId="53FA78D5" w:rsidR="003B417D" w:rsidRPr="006545AD" w:rsidRDefault="00BE7109" w:rsidP="005725BC">
            <w:pPr>
              <w:spacing w:before="40" w:after="40"/>
              <w:jc w:val="both"/>
              <w:rPr>
                <w:rFonts w:ascii="Times New Roman" w:eastAsia="Times New Roman" w:hAnsi="Times New Roman" w:cs="Times New Roman"/>
                <w:sz w:val="28"/>
                <w:szCs w:val="28"/>
              </w:rPr>
            </w:pPr>
            <w:r w:rsidRPr="006545AD">
              <w:rPr>
                <w:sz w:val="26"/>
                <w:szCs w:val="26"/>
              </w:rPr>
              <w:t>×</w:t>
            </w:r>
            <w:r w:rsidR="003B417D" w:rsidRPr="006545AD">
              <w:rPr>
                <w:rFonts w:ascii="Times New Roman" w:eastAsia="Times New Roman" w:hAnsi="Times New Roman" w:cs="Times New Roman"/>
                <w:sz w:val="28"/>
                <w:szCs w:val="28"/>
              </w:rPr>
              <w:t xml:space="preserve"> 100</w:t>
            </w:r>
          </w:p>
        </w:tc>
      </w:tr>
      <w:tr w:rsidR="003B417D" w:rsidRPr="006545AD" w14:paraId="719226AB" w14:textId="77777777" w:rsidTr="00376CC5">
        <w:trPr>
          <w:trHeight w:val="990"/>
          <w:jc w:val="center"/>
        </w:trPr>
        <w:tc>
          <w:tcPr>
            <w:tcW w:w="1956" w:type="pct"/>
            <w:vMerge/>
            <w:tcBorders>
              <w:top w:val="nil"/>
              <w:left w:val="nil"/>
              <w:bottom w:val="nil"/>
              <w:right w:val="nil"/>
            </w:tcBorders>
            <w:vAlign w:val="center"/>
          </w:tcPr>
          <w:p w14:paraId="03442E4A" w14:textId="77777777" w:rsidR="003B417D" w:rsidRPr="006545AD" w:rsidRDefault="003B417D" w:rsidP="005725BC">
            <w:pPr>
              <w:spacing w:before="40" w:after="40"/>
              <w:jc w:val="both"/>
              <w:rPr>
                <w:rFonts w:ascii="Times New Roman" w:eastAsia="Times New Roman" w:hAnsi="Times New Roman" w:cs="Times New Roman"/>
                <w:sz w:val="28"/>
                <w:szCs w:val="28"/>
              </w:rPr>
            </w:pPr>
          </w:p>
        </w:tc>
        <w:tc>
          <w:tcPr>
            <w:tcW w:w="234" w:type="pct"/>
            <w:vMerge/>
            <w:tcBorders>
              <w:top w:val="nil"/>
              <w:left w:val="nil"/>
              <w:bottom w:val="nil"/>
              <w:right w:val="nil"/>
            </w:tcBorders>
            <w:vAlign w:val="center"/>
          </w:tcPr>
          <w:p w14:paraId="69B074E4" w14:textId="77777777" w:rsidR="003B417D" w:rsidRPr="006545AD" w:rsidRDefault="003B417D" w:rsidP="005725BC">
            <w:pPr>
              <w:spacing w:before="40" w:after="40"/>
              <w:jc w:val="both"/>
              <w:rPr>
                <w:rFonts w:ascii="Times New Roman" w:eastAsia="Times New Roman" w:hAnsi="Times New Roman" w:cs="Times New Roman"/>
                <w:sz w:val="28"/>
                <w:szCs w:val="28"/>
              </w:rPr>
            </w:pPr>
          </w:p>
        </w:tc>
        <w:tc>
          <w:tcPr>
            <w:tcW w:w="2346" w:type="pct"/>
            <w:tcBorders>
              <w:top w:val="single" w:sz="4" w:space="0" w:color="auto"/>
              <w:left w:val="nil"/>
              <w:bottom w:val="nil"/>
              <w:right w:val="nil"/>
            </w:tcBorders>
            <w:vAlign w:val="center"/>
          </w:tcPr>
          <w:p w14:paraId="31814EE2" w14:textId="77777777" w:rsidR="003B417D" w:rsidRPr="006545AD" w:rsidRDefault="003B417D" w:rsidP="005725BC">
            <w:pPr>
              <w:spacing w:before="40" w:after="40"/>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số các phương tiện giao thông cơ giới đường bộ đang lưu hành</w:t>
            </w:r>
          </w:p>
        </w:tc>
        <w:tc>
          <w:tcPr>
            <w:tcW w:w="465" w:type="pct"/>
            <w:vMerge/>
            <w:tcBorders>
              <w:top w:val="nil"/>
              <w:left w:val="nil"/>
              <w:bottom w:val="nil"/>
              <w:right w:val="nil"/>
            </w:tcBorders>
            <w:vAlign w:val="center"/>
          </w:tcPr>
          <w:p w14:paraId="48BC0ED7" w14:textId="77777777" w:rsidR="003B417D" w:rsidRPr="006545AD" w:rsidRDefault="003B417D" w:rsidP="005725BC">
            <w:pPr>
              <w:spacing w:before="40" w:after="40"/>
              <w:jc w:val="both"/>
              <w:rPr>
                <w:rFonts w:ascii="Times New Roman" w:eastAsia="Times New Roman" w:hAnsi="Times New Roman" w:cs="Times New Roman"/>
                <w:sz w:val="28"/>
                <w:szCs w:val="28"/>
              </w:rPr>
            </w:pPr>
          </w:p>
        </w:tc>
      </w:tr>
    </w:tbl>
    <w:p w14:paraId="5329510E" w14:textId="1026A9C6" w:rsidR="00F30736" w:rsidRPr="006545AD" w:rsidRDefault="00376CC5" w:rsidP="005725BC">
      <w:pPr>
        <w:spacing w:before="12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i/>
          <w:sz w:val="28"/>
          <w:szCs w:val="28"/>
        </w:rPr>
        <w:lastRenderedPageBreak/>
        <w:t>Lưu ý</w:t>
      </w:r>
      <w:r w:rsidRPr="006545AD">
        <w:rPr>
          <w:rFonts w:ascii="Times New Roman" w:eastAsia="Times New Roman" w:hAnsi="Times New Roman" w:cs="Times New Roman"/>
          <w:sz w:val="28"/>
          <w:szCs w:val="28"/>
        </w:rPr>
        <w:t xml:space="preserve">: Ở lộ trình A, chỉ tiêu sẽ thu thập thông tin của phương tiện giao thông cơ giới là xe ô tô sử dụng điện. Ở lộ trình B, chỉ tiêu sẽ thu thập thông tin của xe ô tô, xe mô tô, xe gắn máy sử dụng điện. </w:t>
      </w:r>
    </w:p>
    <w:p w14:paraId="0EE262CA" w14:textId="77777777" w:rsidR="00F408D5" w:rsidRPr="006545AD" w:rsidRDefault="006E7C70" w:rsidP="005725BC">
      <w:pPr>
        <w:spacing w:before="60" w:after="60"/>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DF48BD1" w14:textId="77777777" w:rsidR="00F408D5" w:rsidRPr="006545AD" w:rsidRDefault="006E7C70" w:rsidP="005725BC">
      <w:pPr>
        <w:spacing w:before="6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phương tiện (xe ô tô, xe mô tô, xe gắn máy)</w:t>
      </w:r>
      <w:r w:rsidR="008725E6" w:rsidRPr="006545AD">
        <w:rPr>
          <w:rFonts w:ascii="Times New Roman" w:eastAsia="Times New Roman" w:hAnsi="Times New Roman" w:cs="Times New Roman"/>
          <w:sz w:val="28"/>
          <w:szCs w:val="28"/>
        </w:rPr>
        <w:t>;</w:t>
      </w:r>
    </w:p>
    <w:p w14:paraId="4B9165E3" w14:textId="77777777" w:rsidR="00F408D5" w:rsidRPr="006545AD" w:rsidRDefault="006E7C70" w:rsidP="005725BC">
      <w:pPr>
        <w:spacing w:before="6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thành phố trực thuộc </w:t>
      </w:r>
      <w:r w:rsidR="0063652A" w:rsidRPr="006545AD">
        <w:rPr>
          <w:rFonts w:ascii="Times New Roman" w:eastAsia="Times New Roman" w:hAnsi="Times New Roman" w:cs="Times New Roman"/>
          <w:sz w:val="28"/>
          <w:szCs w:val="28"/>
          <w:lang w:val="en-US"/>
        </w:rPr>
        <w:t>Trung ương</w:t>
      </w:r>
      <w:r w:rsidR="008725E6" w:rsidRPr="006545AD">
        <w:rPr>
          <w:rFonts w:ascii="Times New Roman" w:eastAsia="Times New Roman" w:hAnsi="Times New Roman" w:cs="Times New Roman"/>
          <w:sz w:val="28"/>
          <w:szCs w:val="28"/>
        </w:rPr>
        <w:t>.</w:t>
      </w:r>
    </w:p>
    <w:p w14:paraId="23FE86D7" w14:textId="77777777" w:rsidR="00F408D5" w:rsidRPr="006545AD" w:rsidRDefault="006E7C70" w:rsidP="005725BC">
      <w:pPr>
        <w:spacing w:before="60" w:after="60"/>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8725E6" w:rsidRPr="006545AD">
        <w:rPr>
          <w:rFonts w:ascii="Times New Roman" w:eastAsia="Times New Roman" w:hAnsi="Times New Roman" w:cs="Times New Roman"/>
          <w:sz w:val="28"/>
          <w:szCs w:val="28"/>
        </w:rPr>
        <w:t>.</w:t>
      </w:r>
    </w:p>
    <w:p w14:paraId="7687A39E" w14:textId="77777777" w:rsidR="00F408D5" w:rsidRPr="006545AD" w:rsidRDefault="006E7C70" w:rsidP="005725BC">
      <w:pPr>
        <w:spacing w:before="60" w:after="60"/>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4. Nguồn số liệu: </w:t>
      </w:r>
    </w:p>
    <w:p w14:paraId="4C9CE978" w14:textId="2A2A67A0" w:rsidR="00F408D5" w:rsidRPr="006545AD" w:rsidRDefault="006E7C70" w:rsidP="005725BC">
      <w:pPr>
        <w:spacing w:before="6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Dữ liệu hành chính từ </w:t>
      </w:r>
      <w:r w:rsidR="00376CC5" w:rsidRPr="006545AD">
        <w:rPr>
          <w:rFonts w:ascii="Times New Roman" w:eastAsia="Times New Roman" w:hAnsi="Times New Roman" w:cs="Times New Roman"/>
          <w:sz w:val="28"/>
          <w:szCs w:val="28"/>
        </w:rPr>
        <w:t xml:space="preserve">Bộ Giao thông </w:t>
      </w:r>
      <w:r w:rsidR="008A0E6C" w:rsidRPr="006545AD">
        <w:rPr>
          <w:rFonts w:ascii="Times New Roman" w:eastAsia="Times New Roman" w:hAnsi="Times New Roman" w:cs="Times New Roman"/>
          <w:sz w:val="28"/>
          <w:szCs w:val="28"/>
        </w:rPr>
        <w:t>v</w:t>
      </w:r>
      <w:r w:rsidR="00376CC5" w:rsidRPr="006545AD">
        <w:rPr>
          <w:rFonts w:ascii="Times New Roman" w:eastAsia="Times New Roman" w:hAnsi="Times New Roman" w:cs="Times New Roman"/>
          <w:sz w:val="28"/>
          <w:szCs w:val="28"/>
        </w:rPr>
        <w:t>ận tải (</w:t>
      </w:r>
      <w:r w:rsidRPr="006545AD">
        <w:rPr>
          <w:rFonts w:ascii="Times New Roman" w:eastAsia="Times New Roman" w:hAnsi="Times New Roman" w:cs="Times New Roman"/>
          <w:sz w:val="28"/>
          <w:szCs w:val="28"/>
        </w:rPr>
        <w:t xml:space="preserve">Cục </w:t>
      </w:r>
      <w:r w:rsidR="002E4693" w:rsidRPr="009E1776">
        <w:rPr>
          <w:rFonts w:ascii="Times New Roman" w:eastAsia="Times New Roman" w:hAnsi="Times New Roman" w:cs="Times New Roman"/>
          <w:sz w:val="28"/>
          <w:szCs w:val="28"/>
        </w:rPr>
        <w:t>Đ</w:t>
      </w:r>
      <w:r w:rsidRPr="006545AD">
        <w:rPr>
          <w:rFonts w:ascii="Times New Roman" w:eastAsia="Times New Roman" w:hAnsi="Times New Roman" w:cs="Times New Roman"/>
          <w:sz w:val="28"/>
          <w:szCs w:val="28"/>
        </w:rPr>
        <w:t>ăng kiểm</w:t>
      </w:r>
      <w:r w:rsidR="0052422D" w:rsidRPr="006545AD">
        <w:rPr>
          <w:rFonts w:ascii="Times New Roman" w:eastAsia="Times New Roman" w:hAnsi="Times New Roman" w:cs="Times New Roman"/>
          <w:sz w:val="28"/>
          <w:szCs w:val="28"/>
        </w:rPr>
        <w:t xml:space="preserve"> Việt Nam</w:t>
      </w:r>
      <w:r w:rsidR="00376CC5" w:rsidRPr="006545AD">
        <w:rPr>
          <w:rFonts w:ascii="Times New Roman" w:eastAsia="Times New Roman" w:hAnsi="Times New Roman" w:cs="Times New Roman"/>
          <w:sz w:val="28"/>
          <w:szCs w:val="28"/>
        </w:rPr>
        <w:t>);</w:t>
      </w:r>
    </w:p>
    <w:p w14:paraId="7D57E76C" w14:textId="2776E547" w:rsidR="00875241" w:rsidRPr="006545AD" w:rsidRDefault="000D5F2E" w:rsidP="005725BC">
      <w:pPr>
        <w:spacing w:before="6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Dữ liệu hành chính từ Bộ C</w:t>
      </w:r>
      <w:r w:rsidR="006E7C70" w:rsidRPr="006545AD">
        <w:rPr>
          <w:rFonts w:ascii="Times New Roman" w:eastAsia="Times New Roman" w:hAnsi="Times New Roman" w:cs="Times New Roman"/>
          <w:sz w:val="28"/>
          <w:szCs w:val="28"/>
        </w:rPr>
        <w:t>ông an</w:t>
      </w:r>
      <w:r w:rsidR="0052422D" w:rsidRPr="006545AD">
        <w:rPr>
          <w:rFonts w:ascii="Times New Roman" w:eastAsia="Times New Roman" w:hAnsi="Times New Roman" w:cs="Times New Roman"/>
          <w:sz w:val="28"/>
          <w:szCs w:val="28"/>
        </w:rPr>
        <w:t xml:space="preserve"> (Cục Cảnh sát giao thông)</w:t>
      </w:r>
      <w:r w:rsidR="00875241" w:rsidRPr="006545AD">
        <w:rPr>
          <w:rFonts w:ascii="Times New Roman" w:eastAsia="Times New Roman" w:hAnsi="Times New Roman" w:cs="Times New Roman"/>
          <w:sz w:val="28"/>
          <w:szCs w:val="28"/>
        </w:rPr>
        <w:t>;</w:t>
      </w:r>
    </w:p>
    <w:p w14:paraId="3AB59136" w14:textId="086B2516" w:rsidR="00F408D5" w:rsidRPr="006545AD" w:rsidRDefault="00875241" w:rsidP="005725BC">
      <w:pPr>
        <w:spacing w:before="6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w:t>
      </w:r>
    </w:p>
    <w:p w14:paraId="36A41BB5" w14:textId="37D62F9B" w:rsidR="0052422D" w:rsidRPr="006545AD" w:rsidRDefault="006E7C70" w:rsidP="005725BC">
      <w:pPr>
        <w:spacing w:before="60" w:after="60"/>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r w:rsidR="00FE1893" w:rsidRPr="006545AD">
        <w:rPr>
          <w:rFonts w:ascii="Times New Roman" w:eastAsia="Times New Roman" w:hAnsi="Times New Roman" w:cs="Times New Roman"/>
          <w:sz w:val="28"/>
          <w:szCs w:val="28"/>
        </w:rPr>
        <w:t xml:space="preserve"> </w:t>
      </w:r>
    </w:p>
    <w:p w14:paraId="61245FC9" w14:textId="240634DC" w:rsidR="00F408D5" w:rsidRPr="006545AD" w:rsidRDefault="0052422D" w:rsidP="005725BC">
      <w:pPr>
        <w:spacing w:before="6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Chủ trì: </w:t>
      </w:r>
      <w:r w:rsidR="005A7F64" w:rsidRPr="006545AD">
        <w:rPr>
          <w:rFonts w:ascii="Times New Roman" w:eastAsia="Times New Roman" w:hAnsi="Times New Roman" w:cs="Times New Roman"/>
          <w:sz w:val="28"/>
          <w:szCs w:val="28"/>
        </w:rPr>
        <w:t xml:space="preserve">Bộ Giao thông </w:t>
      </w:r>
      <w:r w:rsidR="008A0E6C" w:rsidRPr="006545AD">
        <w:rPr>
          <w:rFonts w:ascii="Times New Roman" w:eastAsia="Times New Roman" w:hAnsi="Times New Roman" w:cs="Times New Roman"/>
          <w:sz w:val="28"/>
          <w:szCs w:val="28"/>
        </w:rPr>
        <w:t>v</w:t>
      </w:r>
      <w:r w:rsidR="005A7F64" w:rsidRPr="006545AD">
        <w:rPr>
          <w:rFonts w:ascii="Times New Roman" w:eastAsia="Times New Roman" w:hAnsi="Times New Roman" w:cs="Times New Roman"/>
          <w:sz w:val="28"/>
          <w:szCs w:val="28"/>
        </w:rPr>
        <w:t>ận tải</w:t>
      </w:r>
      <w:r w:rsidRPr="006545AD">
        <w:rPr>
          <w:rFonts w:ascii="Times New Roman" w:eastAsia="Times New Roman" w:hAnsi="Times New Roman" w:cs="Times New Roman"/>
          <w:sz w:val="28"/>
          <w:szCs w:val="28"/>
        </w:rPr>
        <w:t>;</w:t>
      </w:r>
    </w:p>
    <w:p w14:paraId="1DDA73EA" w14:textId="1D26A0B5" w:rsidR="0052422D" w:rsidRPr="006545AD" w:rsidRDefault="0052422D" w:rsidP="005725BC">
      <w:pPr>
        <w:spacing w:before="60" w:after="60"/>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Công an</w:t>
      </w:r>
      <w:r w:rsidR="00B24F87" w:rsidRPr="009E1776">
        <w:rPr>
          <w:rFonts w:ascii="Times New Roman" w:eastAsia="Times New Roman" w:hAnsi="Times New Roman" w:cs="Times New Roman"/>
          <w:sz w:val="28"/>
          <w:szCs w:val="28"/>
        </w:rPr>
        <w:t xml:space="preserve"> cung cấp số liệu </w:t>
      </w:r>
      <w:r w:rsidR="00F30736" w:rsidRPr="009E1776">
        <w:rPr>
          <w:rFonts w:ascii="Times New Roman" w:eastAsia="Times New Roman" w:hAnsi="Times New Roman" w:cs="Times New Roman"/>
          <w:sz w:val="28"/>
          <w:szCs w:val="28"/>
        </w:rPr>
        <w:t>đăng ký phương tiện giao thông.</w:t>
      </w:r>
    </w:p>
    <w:p w14:paraId="5F1FAC7E" w14:textId="2D9F9136" w:rsidR="00F408D5" w:rsidRPr="006545AD" w:rsidRDefault="00BD7F28" w:rsidP="005725BC">
      <w:pPr>
        <w:spacing w:before="60" w:after="6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2.8</w:t>
      </w:r>
      <w:r w:rsidR="00D473D2" w:rsidRPr="006545AD">
        <w:rPr>
          <w:rFonts w:ascii="Times New Roman" w:eastAsia="Times New Roman" w:hAnsi="Times New Roman" w:cs="Times New Roman"/>
          <w:b/>
          <w:sz w:val="28"/>
          <w:szCs w:val="28"/>
        </w:rPr>
        <w:t>. Số</w:t>
      </w:r>
      <w:r w:rsidR="006E7C70" w:rsidRPr="006545AD">
        <w:rPr>
          <w:rFonts w:ascii="Times New Roman" w:eastAsia="Times New Roman" w:hAnsi="Times New Roman" w:cs="Times New Roman"/>
          <w:b/>
          <w:sz w:val="28"/>
          <w:szCs w:val="28"/>
        </w:rPr>
        <w:t xml:space="preserve"> lượng trạm sạc, số lượng cổng sạc xe điện</w:t>
      </w:r>
    </w:p>
    <w:p w14:paraId="5D294553" w14:textId="77777777" w:rsidR="00F408D5" w:rsidRPr="006545AD" w:rsidRDefault="00BD7F28" w:rsidP="005725BC">
      <w:pPr>
        <w:spacing w:before="60" w:after="6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13555C0B" w14:textId="37730577" w:rsidR="00F408D5" w:rsidRPr="006545AD" w:rsidRDefault="00D473D2"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Trạm sạc xe điện là nơi cung cấp năng lượng điện cho các phương tiện giao thông vận hành bằng điện như xe ô tô điện,</w:t>
      </w:r>
      <w:r w:rsidR="00371470" w:rsidRPr="006545AD">
        <w:rPr>
          <w:rFonts w:ascii="Times New Roman" w:eastAsia="Times New Roman" w:hAnsi="Times New Roman" w:cs="Times New Roman"/>
          <w:sz w:val="28"/>
          <w:szCs w:val="28"/>
        </w:rPr>
        <w:t xml:space="preserve"> xe mô tô điện,</w:t>
      </w:r>
      <w:r w:rsidR="006E7C70" w:rsidRPr="006545AD">
        <w:rPr>
          <w:rFonts w:ascii="Times New Roman" w:eastAsia="Times New Roman" w:hAnsi="Times New Roman" w:cs="Times New Roman"/>
          <w:sz w:val="28"/>
          <w:szCs w:val="28"/>
        </w:rPr>
        <w:t xml:space="preserve"> xe </w:t>
      </w:r>
      <w:r w:rsidR="00371470" w:rsidRPr="006545AD">
        <w:rPr>
          <w:rFonts w:ascii="Times New Roman" w:eastAsia="Times New Roman" w:hAnsi="Times New Roman" w:cs="Times New Roman"/>
          <w:sz w:val="28"/>
          <w:szCs w:val="28"/>
        </w:rPr>
        <w:t xml:space="preserve">gắn </w:t>
      </w:r>
      <w:r w:rsidR="006E7C70" w:rsidRPr="006545AD">
        <w:rPr>
          <w:rFonts w:ascii="Times New Roman" w:eastAsia="Times New Roman" w:hAnsi="Times New Roman" w:cs="Times New Roman"/>
          <w:sz w:val="28"/>
          <w:szCs w:val="28"/>
        </w:rPr>
        <w:t>máy điện, xe buýt điện … Một trạm sạc điện có thể bao gồm nhiều cổng sạc điện. Mỗi cổng sạc điện có thể sạc được một</w:t>
      </w:r>
      <w:r w:rsidR="002B3DF5" w:rsidRPr="006545AD">
        <w:rPr>
          <w:rFonts w:ascii="Times New Roman" w:eastAsia="Times New Roman" w:hAnsi="Times New Roman" w:cs="Times New Roman"/>
          <w:sz w:val="28"/>
          <w:szCs w:val="28"/>
        </w:rPr>
        <w:t xml:space="preserve"> hoặc nhiều</w:t>
      </w:r>
      <w:r w:rsidR="006E7C70" w:rsidRPr="006545AD">
        <w:rPr>
          <w:rFonts w:ascii="Times New Roman" w:eastAsia="Times New Roman" w:hAnsi="Times New Roman" w:cs="Times New Roman"/>
          <w:sz w:val="28"/>
          <w:szCs w:val="28"/>
        </w:rPr>
        <w:t xml:space="preserve"> loại phương tiện.</w:t>
      </w:r>
    </w:p>
    <w:p w14:paraId="4CB8D222" w14:textId="03088852" w:rsidR="00F408D5" w:rsidRPr="006545AD" w:rsidRDefault="00D473D2"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Việc xây dựng trạm sạc xe điện cho </w:t>
      </w:r>
      <w:r w:rsidR="00BF088A" w:rsidRPr="006545AD">
        <w:rPr>
          <w:rFonts w:ascii="Times New Roman" w:eastAsia="Times New Roman" w:hAnsi="Times New Roman" w:cs="Times New Roman"/>
          <w:sz w:val="28"/>
          <w:szCs w:val="28"/>
        </w:rPr>
        <w:t xml:space="preserve">xe </w:t>
      </w:r>
      <w:r w:rsidR="006E7C70" w:rsidRPr="006545AD">
        <w:rPr>
          <w:rFonts w:ascii="Times New Roman" w:eastAsia="Times New Roman" w:hAnsi="Times New Roman" w:cs="Times New Roman"/>
          <w:sz w:val="28"/>
          <w:szCs w:val="28"/>
        </w:rPr>
        <w:t>ô tô điện,</w:t>
      </w:r>
      <w:r w:rsidR="00371470" w:rsidRPr="006545AD">
        <w:rPr>
          <w:rFonts w:ascii="Times New Roman" w:eastAsia="Times New Roman" w:hAnsi="Times New Roman" w:cs="Times New Roman"/>
          <w:sz w:val="28"/>
          <w:szCs w:val="28"/>
        </w:rPr>
        <w:t xml:space="preserve"> xe mô tô điện,</w:t>
      </w:r>
      <w:r w:rsidR="006E7C70" w:rsidRPr="006545AD">
        <w:rPr>
          <w:rFonts w:ascii="Times New Roman" w:eastAsia="Times New Roman" w:hAnsi="Times New Roman" w:cs="Times New Roman"/>
          <w:sz w:val="28"/>
          <w:szCs w:val="28"/>
        </w:rPr>
        <w:t xml:space="preserve"> xe</w:t>
      </w:r>
      <w:r w:rsidR="00371470" w:rsidRPr="006545AD">
        <w:rPr>
          <w:rFonts w:ascii="Times New Roman" w:eastAsia="Times New Roman" w:hAnsi="Times New Roman" w:cs="Times New Roman"/>
          <w:sz w:val="28"/>
          <w:szCs w:val="28"/>
        </w:rPr>
        <w:t xml:space="preserve"> gắn</w:t>
      </w:r>
      <w:r w:rsidR="006E7C70" w:rsidRPr="006545AD">
        <w:rPr>
          <w:rFonts w:ascii="Times New Roman" w:eastAsia="Times New Roman" w:hAnsi="Times New Roman" w:cs="Times New Roman"/>
          <w:sz w:val="28"/>
          <w:szCs w:val="28"/>
        </w:rPr>
        <w:t xml:space="preserve"> máy điện, xe đạp điện… cũng cần có một số tiêu chuẩn nhất định về không gian lắp đặt trạm sạc điện phải đủ rộng rãi và phù hợp, độ an toàn của những thiết bị sạc điện cũng cần được lưu ý như tránh xa các vùng ngập lụt, dây dẫn phải đi trong tường hoặc đi dưới đất … Trạm sạc điện thường được bố trí ở các bãi đậu xe công cộng, ở các tòa nhà cao tầng, khu chung cư cao tầng … trong đô thị hoặc ở các trạm dừng nghỉ, trạm xăng trên đường cao tốc. </w:t>
      </w:r>
    </w:p>
    <w:p w14:paraId="69624EC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7B74D566" w14:textId="7AE4176E"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Loại cổng sạc điện (xe </w:t>
      </w:r>
      <w:r w:rsidR="002B3DF5" w:rsidRPr="006545AD">
        <w:rPr>
          <w:rFonts w:ascii="Times New Roman" w:eastAsia="Times New Roman" w:hAnsi="Times New Roman" w:cs="Times New Roman"/>
          <w:sz w:val="28"/>
          <w:szCs w:val="28"/>
        </w:rPr>
        <w:t>mô tô</w:t>
      </w:r>
      <w:r w:rsidRPr="006545AD">
        <w:rPr>
          <w:rFonts w:ascii="Times New Roman" w:eastAsia="Times New Roman" w:hAnsi="Times New Roman" w:cs="Times New Roman"/>
          <w:sz w:val="28"/>
          <w:szCs w:val="28"/>
        </w:rPr>
        <w:t>,</w:t>
      </w:r>
      <w:r w:rsidR="002B3DF5" w:rsidRPr="006545AD">
        <w:rPr>
          <w:rFonts w:ascii="Times New Roman" w:eastAsia="Times New Roman" w:hAnsi="Times New Roman" w:cs="Times New Roman"/>
          <w:sz w:val="28"/>
          <w:szCs w:val="28"/>
        </w:rPr>
        <w:t xml:space="preserve"> xe gắn máy,</w:t>
      </w:r>
      <w:r w:rsidRPr="006545AD">
        <w:rPr>
          <w:rFonts w:ascii="Times New Roman" w:eastAsia="Times New Roman" w:hAnsi="Times New Roman" w:cs="Times New Roman"/>
          <w:sz w:val="28"/>
          <w:szCs w:val="28"/>
        </w:rPr>
        <w:t xml:space="preserve"> ô tô)</w:t>
      </w:r>
      <w:r w:rsidR="008725E6" w:rsidRPr="006545AD">
        <w:rPr>
          <w:rFonts w:ascii="Times New Roman" w:eastAsia="Times New Roman" w:hAnsi="Times New Roman" w:cs="Times New Roman"/>
          <w:sz w:val="28"/>
          <w:szCs w:val="28"/>
        </w:rPr>
        <w:t>;</w:t>
      </w:r>
    </w:p>
    <w:p w14:paraId="4C2B913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thành phố trực thuộc </w:t>
      </w:r>
      <w:r w:rsidR="0063652A" w:rsidRPr="006545AD">
        <w:rPr>
          <w:rFonts w:ascii="Times New Roman" w:eastAsia="Times New Roman" w:hAnsi="Times New Roman" w:cs="Times New Roman"/>
          <w:sz w:val="28"/>
          <w:szCs w:val="28"/>
          <w:lang w:val="en-US"/>
        </w:rPr>
        <w:t>Trung ương</w:t>
      </w:r>
      <w:r w:rsidR="008725E6" w:rsidRPr="006545AD">
        <w:rPr>
          <w:rFonts w:ascii="Times New Roman" w:eastAsia="Times New Roman" w:hAnsi="Times New Roman" w:cs="Times New Roman"/>
          <w:sz w:val="28"/>
          <w:szCs w:val="28"/>
        </w:rPr>
        <w:t>.</w:t>
      </w:r>
    </w:p>
    <w:p w14:paraId="3E6F62E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8725E6" w:rsidRPr="006545AD">
        <w:rPr>
          <w:rFonts w:ascii="Times New Roman" w:eastAsia="Times New Roman" w:hAnsi="Times New Roman" w:cs="Times New Roman"/>
          <w:sz w:val="28"/>
          <w:szCs w:val="28"/>
        </w:rPr>
        <w:t>.</w:t>
      </w:r>
    </w:p>
    <w:p w14:paraId="5232AD1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4. Nguồn số liệu: </w:t>
      </w:r>
    </w:p>
    <w:p w14:paraId="7EE298DF" w14:textId="5A595E25"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Dữ liệu hành chính từ Bộ </w:t>
      </w:r>
      <w:r w:rsidR="00574BDA" w:rsidRPr="006545AD">
        <w:rPr>
          <w:rFonts w:ascii="Times New Roman" w:eastAsia="Times New Roman" w:hAnsi="Times New Roman" w:cs="Times New Roman"/>
          <w:sz w:val="28"/>
          <w:szCs w:val="28"/>
        </w:rPr>
        <w:t xml:space="preserve">Giao thông </w:t>
      </w:r>
      <w:r w:rsidR="008A0E6C" w:rsidRPr="006545AD">
        <w:rPr>
          <w:rFonts w:ascii="Times New Roman" w:eastAsia="Times New Roman" w:hAnsi="Times New Roman" w:cs="Times New Roman"/>
          <w:sz w:val="28"/>
          <w:szCs w:val="28"/>
        </w:rPr>
        <w:t>v</w:t>
      </w:r>
      <w:r w:rsidR="00574BDA" w:rsidRPr="006545AD">
        <w:rPr>
          <w:rFonts w:ascii="Times New Roman" w:eastAsia="Times New Roman" w:hAnsi="Times New Roman" w:cs="Times New Roman"/>
          <w:sz w:val="28"/>
          <w:szCs w:val="28"/>
        </w:rPr>
        <w:t>ận tải</w:t>
      </w:r>
      <w:r w:rsidRPr="006545AD">
        <w:rPr>
          <w:rFonts w:ascii="Times New Roman" w:eastAsia="Times New Roman" w:hAnsi="Times New Roman" w:cs="Times New Roman"/>
          <w:sz w:val="28"/>
          <w:szCs w:val="28"/>
        </w:rPr>
        <w:t>; Bộ Xây dựng;</w:t>
      </w:r>
      <w:r w:rsidR="00376CC5"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Bộ Công thương</w:t>
      </w:r>
      <w:r w:rsidR="000C05EE" w:rsidRPr="006545AD">
        <w:rPr>
          <w:rFonts w:ascii="Times New Roman" w:eastAsia="Times New Roman" w:hAnsi="Times New Roman" w:cs="Times New Roman"/>
          <w:sz w:val="28"/>
          <w:szCs w:val="28"/>
        </w:rPr>
        <w:t>; Ủy ban nhân dân tỉnh, thành phố trực thuộc Trung ương.</w:t>
      </w:r>
    </w:p>
    <w:p w14:paraId="560F97C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2F3D7A97" w14:textId="1B63C136"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Chủ trì: Bộ </w:t>
      </w:r>
      <w:r w:rsidR="00B10FA9" w:rsidRPr="006545AD">
        <w:rPr>
          <w:rFonts w:ascii="Times New Roman" w:eastAsia="Times New Roman" w:hAnsi="Times New Roman" w:cs="Times New Roman"/>
          <w:sz w:val="28"/>
          <w:szCs w:val="28"/>
        </w:rPr>
        <w:t>Kế hoạch và Đầu tư (Tổng cục Thống kê)</w:t>
      </w:r>
      <w:r w:rsidR="008725E6" w:rsidRPr="006545AD">
        <w:rPr>
          <w:rFonts w:ascii="Times New Roman" w:eastAsia="Times New Roman" w:hAnsi="Times New Roman" w:cs="Times New Roman"/>
          <w:sz w:val="28"/>
          <w:szCs w:val="28"/>
        </w:rPr>
        <w:t>;</w:t>
      </w:r>
    </w:p>
    <w:p w14:paraId="6494C487" w14:textId="29FD0B18"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w:t>
      </w:r>
      <w:r w:rsidR="008725E6" w:rsidRPr="006545AD">
        <w:rPr>
          <w:rFonts w:ascii="Times New Roman" w:eastAsia="Times New Roman" w:hAnsi="Times New Roman" w:cs="Times New Roman"/>
          <w:sz w:val="28"/>
          <w:szCs w:val="28"/>
        </w:rPr>
        <w:t xml:space="preserve"> Phối hợp: </w:t>
      </w:r>
      <w:r w:rsidR="00B10FA9" w:rsidRPr="006545AD">
        <w:rPr>
          <w:rFonts w:ascii="Times New Roman" w:eastAsia="Times New Roman" w:hAnsi="Times New Roman" w:cs="Times New Roman"/>
          <w:sz w:val="28"/>
          <w:szCs w:val="28"/>
        </w:rPr>
        <w:t xml:space="preserve">Bộ Công thương, </w:t>
      </w:r>
      <w:r w:rsidR="008725E6" w:rsidRPr="006545AD">
        <w:rPr>
          <w:rFonts w:ascii="Times New Roman" w:eastAsia="Times New Roman" w:hAnsi="Times New Roman" w:cs="Times New Roman"/>
          <w:sz w:val="28"/>
          <w:szCs w:val="28"/>
        </w:rPr>
        <w:t xml:space="preserve">Bộ Xây dựng, Bộ </w:t>
      </w:r>
      <w:r w:rsidR="00574BDA" w:rsidRPr="006545AD">
        <w:rPr>
          <w:rFonts w:ascii="Times New Roman" w:eastAsia="Times New Roman" w:hAnsi="Times New Roman" w:cs="Times New Roman"/>
          <w:sz w:val="28"/>
          <w:szCs w:val="28"/>
        </w:rPr>
        <w:t xml:space="preserve">Giao thông </w:t>
      </w:r>
      <w:r w:rsidR="008A0E6C" w:rsidRPr="006545AD">
        <w:rPr>
          <w:rFonts w:ascii="Times New Roman" w:eastAsia="Times New Roman" w:hAnsi="Times New Roman" w:cs="Times New Roman"/>
          <w:sz w:val="28"/>
          <w:szCs w:val="28"/>
        </w:rPr>
        <w:t>v</w:t>
      </w:r>
      <w:r w:rsidR="00574BDA" w:rsidRPr="006545AD">
        <w:rPr>
          <w:rFonts w:ascii="Times New Roman" w:eastAsia="Times New Roman" w:hAnsi="Times New Roman" w:cs="Times New Roman"/>
          <w:sz w:val="28"/>
          <w:szCs w:val="28"/>
        </w:rPr>
        <w:t>ận tải</w:t>
      </w:r>
      <w:r w:rsidR="000C05EE" w:rsidRPr="006545AD">
        <w:rPr>
          <w:rFonts w:ascii="Times New Roman" w:eastAsia="Times New Roman" w:hAnsi="Times New Roman" w:cs="Times New Roman"/>
          <w:sz w:val="28"/>
          <w:szCs w:val="28"/>
        </w:rPr>
        <w:t>, Ủy ban nhân dân tỉnh, thành phố trực thuộc Trung ương.</w:t>
      </w:r>
    </w:p>
    <w:p w14:paraId="3A44486F" w14:textId="3CE23C7A"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2.9</w:t>
      </w:r>
      <w:r w:rsidR="005A7F64"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giá trị tăng thêm của hoạt động vận tải hàng hóa đường sắt, đường thủy so với giá trị tăng thêm của vận tải hàng hóa</w:t>
      </w:r>
    </w:p>
    <w:p w14:paraId="689B988C"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0A821FC1" w14:textId="3CF652C0" w:rsidR="00C828A2" w:rsidRPr="006545AD" w:rsidRDefault="006E7C70" w:rsidP="008725E6">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Tỷ lệ giá trị tăng thêm của hoạt động vận tải hàng hóa đường sắt, đường thủy so với giá trị tăng thêm của vận tải hàng hóa là tỷ </w:t>
      </w:r>
      <w:r w:rsidR="00172B1A">
        <w:rPr>
          <w:rFonts w:ascii="Times New Roman" w:eastAsia="Times New Roman" w:hAnsi="Times New Roman" w:cs="Times New Roman"/>
          <w:sz w:val="28"/>
          <w:szCs w:val="28"/>
        </w:rPr>
        <w:t xml:space="preserve">trọng </w:t>
      </w:r>
      <w:r w:rsidRPr="006545AD">
        <w:rPr>
          <w:rFonts w:ascii="Times New Roman" w:eastAsia="Times New Roman" w:hAnsi="Times New Roman" w:cs="Times New Roman"/>
          <w:sz w:val="28"/>
          <w:szCs w:val="28"/>
        </w:rPr>
        <w:t>giá trị tăng thêm (VA)</w:t>
      </w:r>
      <w:r w:rsidR="00172B1A">
        <w:rPr>
          <w:rFonts w:ascii="Times New Roman" w:eastAsia="Times New Roman" w:hAnsi="Times New Roman" w:cs="Times New Roman"/>
          <w:sz w:val="28"/>
          <w:szCs w:val="28"/>
        </w:rPr>
        <w:t xml:space="preserve"> của ngành </w:t>
      </w:r>
      <w:r w:rsidRPr="006545AD">
        <w:rPr>
          <w:rFonts w:ascii="Times New Roman" w:eastAsia="Times New Roman" w:hAnsi="Times New Roman" w:cs="Times New Roman"/>
          <w:sz w:val="28"/>
          <w:szCs w:val="28"/>
        </w:rPr>
        <w:t>vận tải hàng hóa đường sắt, đường thủy nội địa và đường ven biển</w:t>
      </w:r>
      <w:r w:rsidR="00172B1A">
        <w:rPr>
          <w:rFonts w:ascii="Times New Roman" w:eastAsia="Times New Roman" w:hAnsi="Times New Roman" w:cs="Times New Roman"/>
          <w:sz w:val="28"/>
          <w:szCs w:val="28"/>
        </w:rPr>
        <w:t xml:space="preserve"> và viễn dương</w:t>
      </w:r>
      <w:r w:rsidRPr="006545AD">
        <w:rPr>
          <w:rFonts w:ascii="Times New Roman" w:eastAsia="Times New Roman" w:hAnsi="Times New Roman" w:cs="Times New Roman"/>
          <w:sz w:val="28"/>
          <w:szCs w:val="28"/>
        </w:rPr>
        <w:t xml:space="preserve"> </w:t>
      </w:r>
      <w:r w:rsidR="00172B1A">
        <w:rPr>
          <w:rFonts w:ascii="Times New Roman" w:eastAsia="Times New Roman" w:hAnsi="Times New Roman" w:cs="Times New Roman"/>
          <w:sz w:val="28"/>
          <w:szCs w:val="28"/>
        </w:rPr>
        <w:t>trong</w:t>
      </w:r>
      <w:r w:rsidRPr="006545AD">
        <w:rPr>
          <w:rFonts w:ascii="Times New Roman" w:eastAsia="Times New Roman" w:hAnsi="Times New Roman" w:cs="Times New Roman"/>
          <w:sz w:val="28"/>
          <w:szCs w:val="28"/>
        </w:rPr>
        <w:t xml:space="preserve"> tổng giá trị tăng thêm (VA) của ngành vận tải hàng hóa theo giá hiện hành</w:t>
      </w:r>
      <w:r w:rsidR="008725E6" w:rsidRPr="006545AD">
        <w:rPr>
          <w:rFonts w:ascii="Times New Roman" w:eastAsia="Times New Roman" w:hAnsi="Times New Roman" w:cs="Times New Roman"/>
          <w:sz w:val="28"/>
          <w:szCs w:val="28"/>
        </w:rPr>
        <w:t>.</w:t>
      </w:r>
    </w:p>
    <w:p w14:paraId="68EF56CC" w14:textId="77777777" w:rsidR="00F408D5" w:rsidRPr="006545AD" w:rsidRDefault="00FE1E0A"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Công thức tính: </w:t>
      </w:r>
    </w:p>
    <w:tbl>
      <w:tblPr>
        <w:tblStyle w:val="TableGrid"/>
        <w:tblW w:w="9072" w:type="dxa"/>
        <w:tblLook w:val="04A0" w:firstRow="1" w:lastRow="0" w:firstColumn="1" w:lastColumn="0" w:noHBand="0" w:noVBand="1"/>
      </w:tblPr>
      <w:tblGrid>
        <w:gridCol w:w="3402"/>
        <w:gridCol w:w="426"/>
        <w:gridCol w:w="4394"/>
        <w:gridCol w:w="850"/>
      </w:tblGrid>
      <w:tr w:rsidR="003B417D" w:rsidRPr="006545AD" w14:paraId="52DFE7C5" w14:textId="77777777" w:rsidTr="005725BC">
        <w:trPr>
          <w:trHeight w:val="715"/>
        </w:trPr>
        <w:tc>
          <w:tcPr>
            <w:tcW w:w="3402" w:type="dxa"/>
            <w:vMerge w:val="restart"/>
            <w:tcBorders>
              <w:top w:val="nil"/>
              <w:left w:val="nil"/>
              <w:bottom w:val="nil"/>
              <w:right w:val="nil"/>
            </w:tcBorders>
            <w:vAlign w:val="center"/>
          </w:tcPr>
          <w:p w14:paraId="40E1B0FE" w14:textId="0D6AB06B" w:rsidR="003B417D" w:rsidRPr="006545AD" w:rsidRDefault="00836A4E" w:rsidP="000372BF">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giá trị tăng thêm</w:t>
            </w:r>
            <w:r w:rsidR="003B417D" w:rsidRPr="006545AD">
              <w:rPr>
                <w:rFonts w:ascii="Times New Roman" w:eastAsia="Times New Roman" w:hAnsi="Times New Roman" w:cs="Times New Roman"/>
                <w:sz w:val="28"/>
                <w:szCs w:val="28"/>
              </w:rPr>
              <w:t xml:space="preserve"> của </w:t>
            </w:r>
            <w:r w:rsidR="00172B1A" w:rsidRPr="00172B1A">
              <w:rPr>
                <w:rFonts w:ascii="Times New Roman" w:eastAsia="Times New Roman" w:hAnsi="Times New Roman" w:cs="Times New Roman"/>
                <w:sz w:val="28"/>
                <w:szCs w:val="28"/>
              </w:rPr>
              <w:t>ngành vận tải hàng hóa đường sắt, đường thủy nội địa và đường ven biển và viễn dương</w:t>
            </w:r>
            <w:r w:rsidR="00172B1A" w:rsidRPr="00172B1A" w:rsidDel="00172B1A">
              <w:rPr>
                <w:rFonts w:ascii="Times New Roman" w:eastAsia="Times New Roman" w:hAnsi="Times New Roman" w:cs="Times New Roman"/>
                <w:sz w:val="28"/>
                <w:szCs w:val="28"/>
              </w:rPr>
              <w:t xml:space="preserve"> </w:t>
            </w:r>
            <w:r w:rsidR="003B417D" w:rsidRPr="006545AD">
              <w:rPr>
                <w:rFonts w:ascii="Times New Roman" w:eastAsia="Times New Roman" w:hAnsi="Times New Roman" w:cs="Times New Roman"/>
                <w:sz w:val="28"/>
                <w:szCs w:val="28"/>
              </w:rPr>
              <w:t>so với VA của vận tải hàng hóa (%)</w:t>
            </w:r>
          </w:p>
        </w:tc>
        <w:tc>
          <w:tcPr>
            <w:tcW w:w="426" w:type="dxa"/>
            <w:vMerge w:val="restart"/>
            <w:tcBorders>
              <w:top w:val="nil"/>
              <w:left w:val="nil"/>
              <w:bottom w:val="nil"/>
              <w:right w:val="nil"/>
            </w:tcBorders>
            <w:vAlign w:val="center"/>
          </w:tcPr>
          <w:p w14:paraId="2D4FD4CB"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394" w:type="dxa"/>
            <w:tcBorders>
              <w:top w:val="nil"/>
              <w:left w:val="nil"/>
              <w:bottom w:val="single" w:sz="4" w:space="0" w:color="auto"/>
              <w:right w:val="nil"/>
            </w:tcBorders>
            <w:vAlign w:val="center"/>
          </w:tcPr>
          <w:p w14:paraId="6AA34563" w14:textId="50FEAF6B" w:rsidR="003B417D" w:rsidRPr="006545AD" w:rsidRDefault="000372BF"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tăng thêm</w:t>
            </w:r>
            <w:r w:rsidR="003B417D" w:rsidRPr="006545AD">
              <w:rPr>
                <w:rFonts w:ascii="Times New Roman" w:eastAsia="Times New Roman" w:hAnsi="Times New Roman" w:cs="Times New Roman"/>
                <w:sz w:val="28"/>
                <w:szCs w:val="28"/>
              </w:rPr>
              <w:t xml:space="preserve"> của </w:t>
            </w:r>
            <w:r w:rsidR="00172B1A" w:rsidRPr="00172B1A">
              <w:rPr>
                <w:rFonts w:ascii="Times New Roman" w:eastAsia="Times New Roman" w:hAnsi="Times New Roman" w:cs="Times New Roman"/>
                <w:sz w:val="28"/>
                <w:szCs w:val="28"/>
              </w:rPr>
              <w:t>ngành vận tải hàng hóa đường sắt, đường thủy nội địa và đường ven biển và viễn dương</w:t>
            </w:r>
          </w:p>
        </w:tc>
        <w:tc>
          <w:tcPr>
            <w:tcW w:w="850" w:type="dxa"/>
            <w:vMerge w:val="restart"/>
            <w:tcBorders>
              <w:top w:val="nil"/>
              <w:left w:val="nil"/>
              <w:bottom w:val="nil"/>
              <w:right w:val="nil"/>
            </w:tcBorders>
            <w:vAlign w:val="center"/>
          </w:tcPr>
          <w:p w14:paraId="14A9D869" w14:textId="7FD60FEB" w:rsidR="003B417D" w:rsidRPr="006545AD" w:rsidRDefault="00BE7109" w:rsidP="00923EF8">
            <w:pPr>
              <w:spacing w:before="60" w:after="60" w:line="360" w:lineRule="exact"/>
              <w:jc w:val="both"/>
              <w:rPr>
                <w:rFonts w:ascii="Times New Roman" w:eastAsia="Times New Roman" w:hAnsi="Times New Roman" w:cs="Times New Roman"/>
                <w:sz w:val="28"/>
                <w:szCs w:val="28"/>
              </w:rPr>
            </w:pPr>
            <w:r w:rsidRPr="006545AD">
              <w:rPr>
                <w:sz w:val="26"/>
                <w:szCs w:val="26"/>
              </w:rPr>
              <w:t>×</w:t>
            </w:r>
            <w:r w:rsidR="003B417D" w:rsidRPr="006545AD">
              <w:rPr>
                <w:rFonts w:ascii="Times New Roman" w:eastAsia="Times New Roman" w:hAnsi="Times New Roman" w:cs="Times New Roman"/>
                <w:sz w:val="28"/>
                <w:szCs w:val="28"/>
              </w:rPr>
              <w:t xml:space="preserve"> 100</w:t>
            </w:r>
          </w:p>
        </w:tc>
      </w:tr>
      <w:tr w:rsidR="003B417D" w:rsidRPr="006545AD" w14:paraId="50E5F6C7" w14:textId="77777777" w:rsidTr="005725BC">
        <w:trPr>
          <w:trHeight w:val="701"/>
        </w:trPr>
        <w:tc>
          <w:tcPr>
            <w:tcW w:w="3402" w:type="dxa"/>
            <w:vMerge/>
            <w:tcBorders>
              <w:top w:val="nil"/>
              <w:left w:val="nil"/>
              <w:bottom w:val="nil"/>
              <w:right w:val="nil"/>
            </w:tcBorders>
            <w:vAlign w:val="center"/>
          </w:tcPr>
          <w:p w14:paraId="72CB502C"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426" w:type="dxa"/>
            <w:vMerge/>
            <w:tcBorders>
              <w:top w:val="nil"/>
              <w:left w:val="nil"/>
              <w:bottom w:val="nil"/>
              <w:right w:val="nil"/>
            </w:tcBorders>
            <w:vAlign w:val="center"/>
          </w:tcPr>
          <w:p w14:paraId="7CCF9F7E"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4394" w:type="dxa"/>
            <w:tcBorders>
              <w:top w:val="single" w:sz="4" w:space="0" w:color="auto"/>
              <w:left w:val="nil"/>
              <w:bottom w:val="nil"/>
              <w:right w:val="nil"/>
            </w:tcBorders>
            <w:vAlign w:val="center"/>
          </w:tcPr>
          <w:p w14:paraId="44269A30" w14:textId="77777777" w:rsidR="003B417D" w:rsidRPr="006545AD" w:rsidRDefault="000372BF"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giá trị tăng thêm</w:t>
            </w:r>
            <w:r w:rsidR="003B417D" w:rsidRPr="006545AD">
              <w:rPr>
                <w:rFonts w:ascii="Times New Roman" w:eastAsia="Times New Roman" w:hAnsi="Times New Roman" w:cs="Times New Roman"/>
                <w:sz w:val="28"/>
                <w:szCs w:val="28"/>
              </w:rPr>
              <w:t xml:space="preserve"> của vận tải hàng hóa</w:t>
            </w:r>
          </w:p>
        </w:tc>
        <w:tc>
          <w:tcPr>
            <w:tcW w:w="850" w:type="dxa"/>
            <w:vMerge/>
            <w:tcBorders>
              <w:top w:val="nil"/>
              <w:left w:val="nil"/>
              <w:bottom w:val="nil"/>
              <w:right w:val="nil"/>
            </w:tcBorders>
            <w:vAlign w:val="center"/>
          </w:tcPr>
          <w:p w14:paraId="17F5EF31"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r>
    </w:tbl>
    <w:p w14:paraId="2139112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E4B3E55" w14:textId="77777777" w:rsidR="00172B1A"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r w:rsidR="000372BF"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 xml:space="preserve">Vận tải hàng hóa đường sắt, </w:t>
      </w:r>
    </w:p>
    <w:p w14:paraId="2554BFDE" w14:textId="559C7EB3" w:rsidR="00F408D5" w:rsidRDefault="00172B1A" w:rsidP="00923EF8">
      <w:pPr>
        <w:spacing w:before="60" w:after="6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w:t>
      </w:r>
      <w:r w:rsidR="006E7C70" w:rsidRPr="006545AD">
        <w:rPr>
          <w:rFonts w:ascii="Times New Roman" w:eastAsia="Times New Roman" w:hAnsi="Times New Roman" w:cs="Times New Roman"/>
          <w:sz w:val="28"/>
          <w:szCs w:val="28"/>
        </w:rPr>
        <w:t>ận tải hàng hóa đường thủy</w:t>
      </w:r>
      <w:r>
        <w:rPr>
          <w:rFonts w:ascii="Times New Roman" w:eastAsia="Times New Roman" w:hAnsi="Times New Roman" w:cs="Times New Roman"/>
          <w:sz w:val="28"/>
          <w:szCs w:val="28"/>
        </w:rPr>
        <w:t xml:space="preserve"> nội địa</w:t>
      </w:r>
      <w:r w:rsidR="006E7C70" w:rsidRPr="006545AD">
        <w:rPr>
          <w:rFonts w:ascii="Times New Roman" w:eastAsia="Times New Roman" w:hAnsi="Times New Roman" w:cs="Times New Roman"/>
          <w:sz w:val="28"/>
          <w:szCs w:val="28"/>
        </w:rPr>
        <w:t>;</w:t>
      </w:r>
    </w:p>
    <w:p w14:paraId="18059F34" w14:textId="0C9FA076" w:rsidR="00172B1A" w:rsidRPr="006545AD" w:rsidRDefault="00172B1A" w:rsidP="00923EF8">
      <w:pPr>
        <w:spacing w:before="60" w:after="6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Vận tải hàng hóa đường ven biển và viễn dương</w:t>
      </w:r>
    </w:p>
    <w:p w14:paraId="3F517D4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w:t>
      </w:r>
      <w:r w:rsidR="00946878" w:rsidRPr="006545AD">
        <w:rPr>
          <w:rFonts w:ascii="Times New Roman" w:eastAsia="Times New Roman" w:hAnsi="Times New Roman" w:cs="Times New Roman"/>
          <w:sz w:val="28"/>
          <w:szCs w:val="28"/>
        </w:rPr>
        <w:t>thành phố</w:t>
      </w:r>
      <w:r w:rsidRPr="006545AD">
        <w:rPr>
          <w:rFonts w:ascii="Times New Roman" w:eastAsia="Times New Roman" w:hAnsi="Times New Roman" w:cs="Times New Roman"/>
          <w:sz w:val="28"/>
          <w:szCs w:val="28"/>
        </w:rPr>
        <w:t xml:space="preserve"> trực thuộc </w:t>
      </w:r>
      <w:r w:rsidR="0063652A" w:rsidRPr="006545AD">
        <w:rPr>
          <w:rFonts w:ascii="Times New Roman" w:eastAsia="Times New Roman" w:hAnsi="Times New Roman" w:cs="Times New Roman"/>
          <w:sz w:val="28"/>
          <w:szCs w:val="28"/>
          <w:lang w:val="en-US"/>
        </w:rPr>
        <w:t>Trung ương</w:t>
      </w:r>
      <w:r w:rsidR="008725E6" w:rsidRPr="006545AD">
        <w:rPr>
          <w:rFonts w:ascii="Times New Roman" w:eastAsia="Times New Roman" w:hAnsi="Times New Roman" w:cs="Times New Roman"/>
          <w:sz w:val="28"/>
          <w:szCs w:val="28"/>
        </w:rPr>
        <w:t>.</w:t>
      </w:r>
    </w:p>
    <w:p w14:paraId="3440715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8725E6" w:rsidRPr="006545AD">
        <w:rPr>
          <w:rFonts w:ascii="Times New Roman" w:eastAsia="Times New Roman" w:hAnsi="Times New Roman" w:cs="Times New Roman"/>
          <w:sz w:val="28"/>
          <w:szCs w:val="28"/>
        </w:rPr>
        <w:t>.</w:t>
      </w:r>
    </w:p>
    <w:p w14:paraId="2748572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1D43DFB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doanh nghiệp;</w:t>
      </w:r>
    </w:p>
    <w:p w14:paraId="4FE9341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hoạt động vận tải, kho bãi.</w:t>
      </w:r>
    </w:p>
    <w:p w14:paraId="407FFEF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pacing w:val="-4"/>
          <w:sz w:val="28"/>
          <w:szCs w:val="28"/>
        </w:rPr>
      </w:pPr>
      <w:r w:rsidRPr="006545AD">
        <w:rPr>
          <w:rFonts w:ascii="Times New Roman" w:eastAsia="Times New Roman" w:hAnsi="Times New Roman" w:cs="Times New Roman"/>
          <w:b/>
          <w:spacing w:val="-4"/>
          <w:sz w:val="28"/>
          <w:szCs w:val="28"/>
        </w:rPr>
        <w:t>5. Cơ quan chịu trách nhiệm thu thập, tổng hợp:</w:t>
      </w:r>
      <w:r w:rsidR="00C651A7" w:rsidRPr="006545AD">
        <w:rPr>
          <w:rFonts w:ascii="Times New Roman" w:eastAsia="Times New Roman" w:hAnsi="Times New Roman" w:cs="Times New Roman"/>
          <w:b/>
          <w:spacing w:val="-4"/>
          <w:sz w:val="28"/>
          <w:szCs w:val="28"/>
        </w:rPr>
        <w:t xml:space="preserve"> </w:t>
      </w:r>
      <w:r w:rsidR="00C651A7" w:rsidRPr="006545AD">
        <w:rPr>
          <w:rFonts w:ascii="Times New Roman" w:eastAsia="Times New Roman" w:hAnsi="Times New Roman" w:cs="Times New Roman"/>
          <w:spacing w:val="-4"/>
          <w:sz w:val="28"/>
          <w:szCs w:val="28"/>
        </w:rPr>
        <w:t>Bộ Kế hoạch và Đầu tư (Tổng cục Thống kê)</w:t>
      </w:r>
      <w:r w:rsidR="005A7F64" w:rsidRPr="006545AD">
        <w:rPr>
          <w:rFonts w:ascii="Times New Roman" w:eastAsia="Times New Roman" w:hAnsi="Times New Roman" w:cs="Times New Roman"/>
          <w:spacing w:val="-4"/>
          <w:sz w:val="28"/>
          <w:szCs w:val="28"/>
        </w:rPr>
        <w:t>.</w:t>
      </w:r>
    </w:p>
    <w:p w14:paraId="096534CF" w14:textId="716D24A0"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2.10</w:t>
      </w:r>
      <w:r w:rsidR="00750749"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b/>
          <w:sz w:val="28"/>
          <w:szCs w:val="28"/>
        </w:rPr>
        <w:t>Tỷ lệ đảm nhận vận tải hành khách công cộng tại các đô thị đặc biệt, đô thị loại I</w:t>
      </w:r>
    </w:p>
    <w:p w14:paraId="0AA78BF8"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58B1675C" w14:textId="3FC3B0BD" w:rsidR="00F408D5"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Tỷ lệ đảm nhận vận tải hành khách công cộng tại các đô thị đặc biệt, đô thị loại I là tỷ lệ phần trăm giữa khối lượng vận chuyển hành khách công cộng thực tế của các phương tiện giao thông công cộng đường bộ, đường sắt, đường thủy so với tổng khối lượng vận chuyển hành khách</w:t>
      </w:r>
      <w:r w:rsidR="009D431D" w:rsidRPr="006545AD">
        <w:rPr>
          <w:rFonts w:ascii="Times New Roman" w:eastAsia="Times New Roman" w:hAnsi="Times New Roman" w:cs="Times New Roman"/>
          <w:sz w:val="28"/>
          <w:szCs w:val="28"/>
        </w:rPr>
        <w:t xml:space="preserve"> thực tế</w:t>
      </w:r>
      <w:r w:rsidR="002B3DF5" w:rsidRPr="006545AD">
        <w:rPr>
          <w:rFonts w:ascii="Times New Roman" w:eastAsia="Times New Roman" w:hAnsi="Times New Roman" w:cs="Times New Roman"/>
          <w:sz w:val="28"/>
          <w:szCs w:val="28"/>
        </w:rPr>
        <w:t xml:space="preserve"> trong cùng thời kỳ</w:t>
      </w:r>
      <w:r w:rsidR="006E7C70" w:rsidRPr="006545AD">
        <w:rPr>
          <w:rFonts w:ascii="Times New Roman" w:eastAsia="Times New Roman" w:hAnsi="Times New Roman" w:cs="Times New Roman"/>
          <w:sz w:val="28"/>
          <w:szCs w:val="28"/>
        </w:rPr>
        <w:t xml:space="preserve">. </w:t>
      </w:r>
    </w:p>
    <w:p w14:paraId="28D70C17" w14:textId="3594766F" w:rsidR="00F408D5" w:rsidRPr="006545AD" w:rsidRDefault="00923EF8" w:rsidP="00923EF8">
      <w:pPr>
        <w:spacing w:before="60" w:after="6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lastRenderedPageBreak/>
        <w:tab/>
      </w:r>
      <w:r w:rsidR="006E7C70" w:rsidRPr="006545AD">
        <w:rPr>
          <w:rFonts w:ascii="Times New Roman" w:eastAsia="Times New Roman" w:hAnsi="Times New Roman" w:cs="Times New Roman"/>
          <w:spacing w:val="-4"/>
          <w:sz w:val="28"/>
          <w:szCs w:val="28"/>
        </w:rPr>
        <w:t>Vận tải hành khách công cộng tại các đô thị đặc biệt, đô thị loại I là hình thức vận chuyển người bằng các phương tiện giao thông công cộng đường bộ, đường sắt, đường thủy như xe buýt; xe buýt</w:t>
      </w:r>
      <w:r w:rsidR="00B37B5F" w:rsidRPr="006545AD">
        <w:rPr>
          <w:rFonts w:ascii="Times New Roman" w:eastAsia="Times New Roman" w:hAnsi="Times New Roman" w:cs="Times New Roman"/>
          <w:spacing w:val="-4"/>
          <w:sz w:val="28"/>
          <w:szCs w:val="28"/>
        </w:rPr>
        <w:t xml:space="preserve"> đường </w:t>
      </w:r>
      <w:r w:rsidR="006E7C70" w:rsidRPr="006545AD">
        <w:rPr>
          <w:rFonts w:ascii="Times New Roman" w:eastAsia="Times New Roman" w:hAnsi="Times New Roman" w:cs="Times New Roman"/>
          <w:spacing w:val="-4"/>
          <w:sz w:val="28"/>
          <w:szCs w:val="28"/>
        </w:rPr>
        <w:t>sông; các phương tiện đường sắt đô thị</w:t>
      </w:r>
      <w:r w:rsidR="00B37B5F" w:rsidRPr="006545AD">
        <w:rPr>
          <w:rFonts w:ascii="Times New Roman" w:eastAsia="Times New Roman" w:hAnsi="Times New Roman" w:cs="Times New Roman"/>
          <w:spacing w:val="-4"/>
          <w:sz w:val="28"/>
          <w:szCs w:val="28"/>
        </w:rPr>
        <w:t>.</w:t>
      </w:r>
    </w:p>
    <w:p w14:paraId="213937A7" w14:textId="1B905D2A" w:rsidR="00F408D5" w:rsidRPr="006545AD" w:rsidRDefault="00923EF8" w:rsidP="00923EF8">
      <w:pPr>
        <w:spacing w:before="60" w:after="60" w:line="360" w:lineRule="exact"/>
        <w:jc w:val="both"/>
        <w:rPr>
          <w:rFonts w:ascii="Times New Roman" w:eastAsia="Times New Roman" w:hAnsi="Times New Roman" w:cs="Times New Roman"/>
          <w:spacing w:val="-2"/>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pacing w:val="-2"/>
          <w:sz w:val="28"/>
          <w:szCs w:val="28"/>
        </w:rPr>
        <w:t>Đô thị đặc biệt</w:t>
      </w:r>
      <w:r w:rsidR="001F41F4" w:rsidRPr="006545AD">
        <w:rPr>
          <w:rFonts w:ascii="Times New Roman" w:eastAsia="Times New Roman" w:hAnsi="Times New Roman" w:cs="Times New Roman"/>
          <w:spacing w:val="-2"/>
          <w:sz w:val="28"/>
          <w:szCs w:val="28"/>
        </w:rPr>
        <w:t xml:space="preserve"> và độ thị loại I</w:t>
      </w:r>
      <w:r w:rsidR="006E7C70" w:rsidRPr="006545AD">
        <w:rPr>
          <w:rFonts w:ascii="Times New Roman" w:eastAsia="Times New Roman" w:hAnsi="Times New Roman" w:cs="Times New Roman"/>
          <w:spacing w:val="-2"/>
          <w:sz w:val="28"/>
          <w:szCs w:val="28"/>
        </w:rPr>
        <w:t xml:space="preserve"> là các đô thị đáp ứng được các tiêu chí phân loại trong Nghị quyết số</w:t>
      </w:r>
      <w:r w:rsidR="00A27355" w:rsidRPr="006545AD">
        <w:rPr>
          <w:rFonts w:ascii="Times New Roman" w:eastAsia="Times New Roman" w:hAnsi="Times New Roman" w:cs="Times New Roman"/>
          <w:spacing w:val="-2"/>
          <w:sz w:val="28"/>
          <w:szCs w:val="28"/>
        </w:rPr>
        <w:t xml:space="preserve"> </w:t>
      </w:r>
      <w:r w:rsidR="006E7C70" w:rsidRPr="006545AD">
        <w:rPr>
          <w:rFonts w:ascii="Times New Roman" w:eastAsia="Times New Roman" w:hAnsi="Times New Roman" w:cs="Times New Roman"/>
          <w:spacing w:val="-2"/>
          <w:sz w:val="28"/>
          <w:szCs w:val="28"/>
        </w:rPr>
        <w:t xml:space="preserve">1210/2016/UBTVQH13 ngày 25/5/2016 của Ủy ban thường vụ Quốc hội. </w:t>
      </w:r>
      <w:r w:rsidR="006E7C70" w:rsidRPr="006545AD">
        <w:rPr>
          <w:rFonts w:ascii="Times New Roman" w:eastAsia="Times New Roman" w:hAnsi="Times New Roman" w:cs="Times New Roman"/>
          <w:sz w:val="28"/>
          <w:szCs w:val="28"/>
        </w:rPr>
        <w:t xml:space="preserve"> </w:t>
      </w:r>
    </w:p>
    <w:p w14:paraId="2B18C508" w14:textId="77777777" w:rsidR="003B417D" w:rsidRPr="006545AD" w:rsidRDefault="00FE1E0A"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Công thức tính: </w:t>
      </w:r>
    </w:p>
    <w:tbl>
      <w:tblPr>
        <w:tblStyle w:val="TableGrid"/>
        <w:tblW w:w="5000" w:type="pct"/>
        <w:tblLook w:val="04A0" w:firstRow="1" w:lastRow="0" w:firstColumn="1" w:lastColumn="0" w:noHBand="0" w:noVBand="1"/>
      </w:tblPr>
      <w:tblGrid>
        <w:gridCol w:w="2412"/>
        <w:gridCol w:w="401"/>
        <w:gridCol w:w="5267"/>
        <w:gridCol w:w="992"/>
      </w:tblGrid>
      <w:tr w:rsidR="003B417D" w:rsidRPr="006545AD" w14:paraId="4F5EA650" w14:textId="77777777" w:rsidTr="005725BC">
        <w:trPr>
          <w:trHeight w:val="456"/>
        </w:trPr>
        <w:tc>
          <w:tcPr>
            <w:tcW w:w="1329" w:type="pct"/>
            <w:vMerge w:val="restart"/>
            <w:tcBorders>
              <w:top w:val="nil"/>
              <w:left w:val="nil"/>
              <w:bottom w:val="nil"/>
              <w:right w:val="nil"/>
            </w:tcBorders>
            <w:vAlign w:val="center"/>
          </w:tcPr>
          <w:p w14:paraId="704B82B2" w14:textId="77777777" w:rsidR="003B417D" w:rsidRPr="006545AD" w:rsidRDefault="003B417D"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đảm nhận vận tải hành khách công cộng ở các đô thị đặc biệt, đô thị loại I (%)</w:t>
            </w:r>
          </w:p>
        </w:tc>
        <w:tc>
          <w:tcPr>
            <w:tcW w:w="221" w:type="pct"/>
            <w:vMerge w:val="restart"/>
            <w:tcBorders>
              <w:top w:val="nil"/>
              <w:left w:val="nil"/>
              <w:bottom w:val="nil"/>
              <w:right w:val="nil"/>
            </w:tcBorders>
            <w:vAlign w:val="center"/>
          </w:tcPr>
          <w:p w14:paraId="1BE1C8BF"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903" w:type="pct"/>
            <w:tcBorders>
              <w:top w:val="nil"/>
              <w:left w:val="nil"/>
              <w:bottom w:val="single" w:sz="4" w:space="0" w:color="auto"/>
              <w:right w:val="nil"/>
            </w:tcBorders>
            <w:vAlign w:val="center"/>
          </w:tcPr>
          <w:p w14:paraId="3FDF1862" w14:textId="39F61D9B" w:rsidR="003B417D" w:rsidRPr="006545AD" w:rsidRDefault="003B417D" w:rsidP="00F511B4">
            <w:pPr>
              <w:spacing w:before="60" w:after="60" w:line="360" w:lineRule="exact"/>
              <w:jc w:val="center"/>
              <w:rPr>
                <w:rFonts w:ascii="Times New Roman" w:eastAsia="Times New Roman" w:hAnsi="Times New Roman" w:cs="Times New Roman"/>
                <w:sz w:val="28"/>
                <w:szCs w:val="28"/>
                <w:lang w:val="vi-VN"/>
              </w:rPr>
            </w:pPr>
            <w:r w:rsidRPr="006545AD">
              <w:rPr>
                <w:rFonts w:ascii="Times New Roman" w:eastAsia="Times New Roman" w:hAnsi="Times New Roman" w:cs="Times New Roman"/>
                <w:sz w:val="28"/>
                <w:szCs w:val="28"/>
              </w:rPr>
              <w:t xml:space="preserve">Tổng khối lượng vận chuyển hành khách của các phương tiện giao thông công cộng tại các đô thị đặc biệt, loại </w:t>
            </w:r>
            <w:r w:rsidR="009563A9" w:rsidRPr="006545AD">
              <w:rPr>
                <w:rFonts w:ascii="Times New Roman" w:eastAsia="Times New Roman" w:hAnsi="Times New Roman" w:cs="Times New Roman"/>
                <w:sz w:val="28"/>
                <w:szCs w:val="28"/>
                <w:lang w:val="vi-VN"/>
              </w:rPr>
              <w:t>I</w:t>
            </w:r>
          </w:p>
        </w:tc>
        <w:tc>
          <w:tcPr>
            <w:tcW w:w="547" w:type="pct"/>
            <w:vMerge w:val="restart"/>
            <w:tcBorders>
              <w:top w:val="nil"/>
              <w:left w:val="nil"/>
              <w:bottom w:val="nil"/>
              <w:right w:val="nil"/>
            </w:tcBorders>
            <w:vAlign w:val="center"/>
          </w:tcPr>
          <w:p w14:paraId="6CB74F00" w14:textId="31DA907C" w:rsidR="003B417D" w:rsidRPr="006545AD" w:rsidRDefault="00BE7109" w:rsidP="00923EF8">
            <w:pPr>
              <w:spacing w:before="60" w:after="60" w:line="360" w:lineRule="exact"/>
              <w:jc w:val="both"/>
              <w:rPr>
                <w:rFonts w:ascii="Times New Roman" w:eastAsia="Times New Roman" w:hAnsi="Times New Roman" w:cs="Times New Roman"/>
                <w:sz w:val="28"/>
                <w:szCs w:val="28"/>
              </w:rPr>
            </w:pPr>
            <w:r w:rsidRPr="006545AD">
              <w:rPr>
                <w:sz w:val="26"/>
                <w:szCs w:val="26"/>
              </w:rPr>
              <w:t>×</w:t>
            </w:r>
            <w:r w:rsidR="003B417D" w:rsidRPr="006545AD">
              <w:rPr>
                <w:rFonts w:ascii="Times New Roman" w:eastAsia="Times New Roman" w:hAnsi="Times New Roman" w:cs="Times New Roman"/>
                <w:sz w:val="28"/>
                <w:szCs w:val="28"/>
              </w:rPr>
              <w:t xml:space="preserve"> 100</w:t>
            </w:r>
          </w:p>
        </w:tc>
      </w:tr>
      <w:tr w:rsidR="003B417D" w:rsidRPr="006545AD" w14:paraId="2372C364" w14:textId="77777777" w:rsidTr="005725BC">
        <w:trPr>
          <w:trHeight w:val="1116"/>
        </w:trPr>
        <w:tc>
          <w:tcPr>
            <w:tcW w:w="1329" w:type="pct"/>
            <w:vMerge/>
            <w:tcBorders>
              <w:top w:val="nil"/>
              <w:left w:val="nil"/>
              <w:bottom w:val="nil"/>
              <w:right w:val="nil"/>
            </w:tcBorders>
            <w:vAlign w:val="center"/>
          </w:tcPr>
          <w:p w14:paraId="7D1F39E1"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221" w:type="pct"/>
            <w:vMerge/>
            <w:tcBorders>
              <w:top w:val="nil"/>
              <w:left w:val="nil"/>
              <w:bottom w:val="nil"/>
              <w:right w:val="nil"/>
            </w:tcBorders>
            <w:vAlign w:val="center"/>
          </w:tcPr>
          <w:p w14:paraId="31FC5F61"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c>
          <w:tcPr>
            <w:tcW w:w="2903" w:type="pct"/>
            <w:tcBorders>
              <w:top w:val="single" w:sz="4" w:space="0" w:color="auto"/>
              <w:left w:val="nil"/>
              <w:bottom w:val="nil"/>
              <w:right w:val="nil"/>
            </w:tcBorders>
            <w:vAlign w:val="center"/>
          </w:tcPr>
          <w:p w14:paraId="39E3E2C8" w14:textId="28E5C256" w:rsidR="003B417D" w:rsidRPr="006545AD" w:rsidRDefault="003B417D" w:rsidP="00F511B4">
            <w:pPr>
              <w:spacing w:before="60" w:after="60" w:line="360" w:lineRule="exact"/>
              <w:jc w:val="center"/>
              <w:rPr>
                <w:rFonts w:ascii="Times New Roman" w:eastAsia="Times New Roman" w:hAnsi="Times New Roman" w:cs="Times New Roman"/>
                <w:sz w:val="28"/>
                <w:szCs w:val="28"/>
                <w:lang w:val="vi-VN"/>
              </w:rPr>
            </w:pPr>
            <w:r w:rsidRPr="006545AD">
              <w:rPr>
                <w:rFonts w:ascii="Times New Roman" w:eastAsia="Times New Roman" w:hAnsi="Times New Roman" w:cs="Times New Roman"/>
                <w:sz w:val="28"/>
                <w:szCs w:val="28"/>
              </w:rPr>
              <w:t xml:space="preserve">Tổng khối lượng vận chuyển hành khách tại các đô thị đặc biệt, loại </w:t>
            </w:r>
            <w:r w:rsidR="009563A9" w:rsidRPr="006545AD">
              <w:rPr>
                <w:rFonts w:ascii="Times New Roman" w:eastAsia="Times New Roman" w:hAnsi="Times New Roman" w:cs="Times New Roman"/>
                <w:sz w:val="28"/>
                <w:szCs w:val="28"/>
                <w:lang w:val="vi-VN"/>
              </w:rPr>
              <w:t>I</w:t>
            </w:r>
          </w:p>
        </w:tc>
        <w:tc>
          <w:tcPr>
            <w:tcW w:w="547" w:type="pct"/>
            <w:vMerge/>
            <w:tcBorders>
              <w:top w:val="nil"/>
              <w:left w:val="nil"/>
              <w:bottom w:val="nil"/>
              <w:right w:val="nil"/>
            </w:tcBorders>
            <w:vAlign w:val="center"/>
          </w:tcPr>
          <w:p w14:paraId="767FE4A0" w14:textId="77777777" w:rsidR="003B417D" w:rsidRPr="006545AD" w:rsidRDefault="003B417D" w:rsidP="00923EF8">
            <w:pPr>
              <w:spacing w:before="60" w:after="60" w:line="360" w:lineRule="exact"/>
              <w:jc w:val="both"/>
              <w:rPr>
                <w:rFonts w:ascii="Times New Roman" w:eastAsia="Times New Roman" w:hAnsi="Times New Roman" w:cs="Times New Roman"/>
                <w:sz w:val="28"/>
                <w:szCs w:val="28"/>
              </w:rPr>
            </w:pPr>
          </w:p>
        </w:tc>
      </w:tr>
    </w:tbl>
    <w:p w14:paraId="04BE912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DD30CA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đô thị (đô thị đặc biệt, loại I);</w:t>
      </w:r>
    </w:p>
    <w:p w14:paraId="44998F87"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phương tiện giao thông công cộng</w:t>
      </w:r>
      <w:r w:rsidR="005A7F64" w:rsidRPr="006545AD">
        <w:rPr>
          <w:rFonts w:ascii="Times New Roman" w:eastAsia="Times New Roman" w:hAnsi="Times New Roman" w:cs="Times New Roman"/>
          <w:sz w:val="28"/>
          <w:szCs w:val="28"/>
        </w:rPr>
        <w:t>;</w:t>
      </w:r>
      <w:r w:rsidRPr="006545AD">
        <w:rPr>
          <w:rFonts w:ascii="Times New Roman" w:eastAsia="Times New Roman" w:hAnsi="Times New Roman" w:cs="Times New Roman"/>
          <w:sz w:val="28"/>
          <w:szCs w:val="28"/>
        </w:rPr>
        <w:t xml:space="preserve">  </w:t>
      </w:r>
    </w:p>
    <w:p w14:paraId="5224099B" w14:textId="5F12E57A"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Ngành </w:t>
      </w:r>
      <w:r w:rsidR="001F7482" w:rsidRPr="006545AD">
        <w:rPr>
          <w:rFonts w:ascii="Times New Roman" w:eastAsia="Times New Roman" w:hAnsi="Times New Roman" w:cs="Times New Roman"/>
          <w:sz w:val="28"/>
          <w:szCs w:val="28"/>
        </w:rPr>
        <w:t>đường.</w:t>
      </w:r>
    </w:p>
    <w:p w14:paraId="4B9157C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C651A7" w:rsidRPr="006545AD">
        <w:rPr>
          <w:rFonts w:ascii="Times New Roman" w:eastAsia="Times New Roman" w:hAnsi="Times New Roman" w:cs="Times New Roman"/>
          <w:sz w:val="28"/>
          <w:szCs w:val="28"/>
        </w:rPr>
        <w:t>.</w:t>
      </w:r>
    </w:p>
    <w:p w14:paraId="1537F250" w14:textId="115D1631" w:rsidR="00E83F17"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r w:rsidR="00DA3DAF" w:rsidRPr="006545AD">
        <w:rPr>
          <w:rFonts w:ascii="Times New Roman" w:eastAsia="Times New Roman" w:hAnsi="Times New Roman" w:cs="Times New Roman"/>
          <w:b/>
          <w:sz w:val="28"/>
          <w:szCs w:val="28"/>
        </w:rPr>
        <w:t xml:space="preserve"> </w:t>
      </w:r>
    </w:p>
    <w:p w14:paraId="27199328" w14:textId="55E666DA" w:rsidR="00E83F17" w:rsidRPr="006545AD" w:rsidRDefault="00E83F17"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 </w:t>
      </w:r>
      <w:r w:rsidR="00DA3DAF" w:rsidRPr="006545AD">
        <w:rPr>
          <w:rFonts w:ascii="Times New Roman" w:eastAsia="Times New Roman" w:hAnsi="Times New Roman" w:cs="Times New Roman"/>
          <w:sz w:val="28"/>
          <w:szCs w:val="28"/>
        </w:rPr>
        <w:t>Dữ liệu hành chính</w:t>
      </w:r>
      <w:r w:rsidRPr="006545AD">
        <w:rPr>
          <w:rFonts w:ascii="Times New Roman" w:eastAsia="Times New Roman" w:hAnsi="Times New Roman" w:cs="Times New Roman"/>
          <w:sz w:val="28"/>
          <w:szCs w:val="28"/>
        </w:rPr>
        <w:t>;</w:t>
      </w:r>
    </w:p>
    <w:p w14:paraId="21E21ACE" w14:textId="0304A386" w:rsidR="00F408D5" w:rsidRPr="006545AD" w:rsidRDefault="00E83F17"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w:t>
      </w:r>
    </w:p>
    <w:p w14:paraId="0FD086E0" w14:textId="77777777" w:rsidR="00A2735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r w:rsidR="00C651A7" w:rsidRPr="006545AD">
        <w:rPr>
          <w:rFonts w:ascii="Times New Roman" w:eastAsia="Times New Roman" w:hAnsi="Times New Roman" w:cs="Times New Roman"/>
          <w:b/>
          <w:sz w:val="28"/>
          <w:szCs w:val="28"/>
        </w:rPr>
        <w:t xml:space="preserve"> </w:t>
      </w:r>
    </w:p>
    <w:p w14:paraId="063739EE" w14:textId="5F184851" w:rsidR="00A27355" w:rsidRPr="006545AD" w:rsidRDefault="00A27355"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 </w:t>
      </w:r>
      <w:r w:rsidR="00B37B5F" w:rsidRPr="009E1776">
        <w:rPr>
          <w:rFonts w:ascii="Times New Roman" w:eastAsia="Times New Roman" w:hAnsi="Times New Roman" w:cs="Times New Roman"/>
          <w:bCs/>
          <w:sz w:val="28"/>
          <w:szCs w:val="28"/>
        </w:rPr>
        <w:t xml:space="preserve">Chủ trì: </w:t>
      </w:r>
      <w:r w:rsidR="006E7C70" w:rsidRPr="006545AD">
        <w:rPr>
          <w:rFonts w:ascii="Times New Roman" w:eastAsia="Times New Roman" w:hAnsi="Times New Roman" w:cs="Times New Roman"/>
          <w:bCs/>
          <w:sz w:val="28"/>
          <w:szCs w:val="28"/>
        </w:rPr>
        <w:t>Bộ</w:t>
      </w:r>
      <w:r w:rsidR="006E7C70" w:rsidRPr="006545AD">
        <w:rPr>
          <w:rFonts w:ascii="Times New Roman" w:eastAsia="Times New Roman" w:hAnsi="Times New Roman" w:cs="Times New Roman"/>
          <w:sz w:val="28"/>
          <w:szCs w:val="28"/>
        </w:rPr>
        <w:t xml:space="preserve"> </w:t>
      </w:r>
      <w:r w:rsidR="00574BDA" w:rsidRPr="006545AD">
        <w:rPr>
          <w:rFonts w:ascii="Times New Roman" w:eastAsia="Times New Roman" w:hAnsi="Times New Roman" w:cs="Times New Roman"/>
          <w:sz w:val="28"/>
          <w:szCs w:val="28"/>
        </w:rPr>
        <w:t xml:space="preserve">Giao thông </w:t>
      </w:r>
      <w:r w:rsidR="008A0E6C" w:rsidRPr="006545AD">
        <w:rPr>
          <w:rFonts w:ascii="Times New Roman" w:eastAsia="Times New Roman" w:hAnsi="Times New Roman" w:cs="Times New Roman"/>
          <w:sz w:val="28"/>
          <w:szCs w:val="28"/>
        </w:rPr>
        <w:t>v</w:t>
      </w:r>
      <w:r w:rsidR="00574BDA" w:rsidRPr="006545AD">
        <w:rPr>
          <w:rFonts w:ascii="Times New Roman" w:eastAsia="Times New Roman" w:hAnsi="Times New Roman" w:cs="Times New Roman"/>
          <w:sz w:val="28"/>
          <w:szCs w:val="28"/>
        </w:rPr>
        <w:t>ận tải</w:t>
      </w:r>
      <w:r w:rsidRPr="006545AD">
        <w:rPr>
          <w:rFonts w:ascii="Times New Roman" w:eastAsia="Times New Roman" w:hAnsi="Times New Roman" w:cs="Times New Roman"/>
          <w:sz w:val="28"/>
          <w:szCs w:val="28"/>
        </w:rPr>
        <w:t>;</w:t>
      </w:r>
    </w:p>
    <w:p w14:paraId="7A2B27AD" w14:textId="72FA5687" w:rsidR="00F408D5" w:rsidRPr="006545AD" w:rsidRDefault="00A27355"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 Phối hợp: Ủy ban nhân dân các tỉnh, thành phố trực thuộc Trung ương (là các đô thị đặc biệt, đô thị loại I).</w:t>
      </w:r>
    </w:p>
    <w:p w14:paraId="649E05B1" w14:textId="536A1591"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2.11</w:t>
      </w:r>
      <w:r w:rsidR="00836A4E"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chiều dài đường bộ cao tốc, đường sắt tốc độ cao, đường sắt đô thị trên tổng chiều dài</w:t>
      </w:r>
      <w:r w:rsidR="00357C5D" w:rsidRPr="006545AD">
        <w:rPr>
          <w:rFonts w:ascii="Times New Roman" w:eastAsia="Times New Roman" w:hAnsi="Times New Roman" w:cs="Times New Roman"/>
          <w:b/>
          <w:sz w:val="28"/>
          <w:szCs w:val="28"/>
        </w:rPr>
        <w:t xml:space="preserve"> </w:t>
      </w:r>
      <w:r w:rsidR="00A671B6" w:rsidRPr="006545AD">
        <w:rPr>
          <w:rFonts w:ascii="Times New Roman" w:eastAsia="Times New Roman" w:hAnsi="Times New Roman" w:cs="Times New Roman"/>
          <w:b/>
          <w:sz w:val="28"/>
          <w:szCs w:val="28"/>
        </w:rPr>
        <w:t xml:space="preserve">đường </w:t>
      </w:r>
      <w:r w:rsidR="002B3DF5" w:rsidRPr="006545AD">
        <w:rPr>
          <w:rFonts w:ascii="Times New Roman" w:eastAsia="Times New Roman" w:hAnsi="Times New Roman" w:cs="Times New Roman"/>
          <w:b/>
          <w:sz w:val="28"/>
          <w:szCs w:val="28"/>
        </w:rPr>
        <w:t>bộ</w:t>
      </w:r>
      <w:r w:rsidR="006E7C70" w:rsidRPr="006545AD">
        <w:rPr>
          <w:rFonts w:ascii="Times New Roman" w:eastAsia="Times New Roman" w:hAnsi="Times New Roman" w:cs="Times New Roman"/>
          <w:b/>
          <w:sz w:val="28"/>
          <w:szCs w:val="28"/>
        </w:rPr>
        <w:t>, đường sắt</w:t>
      </w:r>
    </w:p>
    <w:p w14:paraId="1D4D3C3B"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70C709C" w14:textId="406EF71E" w:rsidR="00F408D5"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Tỷ lệ chiều dài đường bộ cao tốc, đường sắt tốc độ cao và đường sắt đô thị trên tổng chiều dài đường </w:t>
      </w:r>
      <w:r w:rsidR="002B3DF5" w:rsidRPr="006545AD">
        <w:rPr>
          <w:rFonts w:ascii="Times New Roman" w:eastAsia="Times New Roman" w:hAnsi="Times New Roman" w:cs="Times New Roman"/>
          <w:sz w:val="28"/>
          <w:szCs w:val="28"/>
        </w:rPr>
        <w:t>bộ</w:t>
      </w:r>
      <w:r w:rsidR="006E7C70" w:rsidRPr="006545AD">
        <w:rPr>
          <w:rFonts w:ascii="Times New Roman" w:eastAsia="Times New Roman" w:hAnsi="Times New Roman" w:cs="Times New Roman"/>
          <w:sz w:val="28"/>
          <w:szCs w:val="28"/>
        </w:rPr>
        <w:t xml:space="preserve">, đường sắt: là phần trăm giữa tổng chiều dài đường bộ cao tốc, đường sắt tốc độ cao, đường sắt đô thị so với tổng chiều dài đường </w:t>
      </w:r>
      <w:r w:rsidR="00D83EFB" w:rsidRPr="006545AD">
        <w:rPr>
          <w:rFonts w:ascii="Times New Roman" w:eastAsia="Times New Roman" w:hAnsi="Times New Roman" w:cs="Times New Roman"/>
          <w:sz w:val="28"/>
          <w:szCs w:val="28"/>
        </w:rPr>
        <w:t>bộ</w:t>
      </w:r>
      <w:r w:rsidR="006E7C70" w:rsidRPr="006545AD">
        <w:rPr>
          <w:rFonts w:ascii="Times New Roman" w:eastAsia="Times New Roman" w:hAnsi="Times New Roman" w:cs="Times New Roman"/>
          <w:sz w:val="28"/>
          <w:szCs w:val="28"/>
        </w:rPr>
        <w:t>, đường sắt.</w:t>
      </w:r>
    </w:p>
    <w:p w14:paraId="10F7A55B" w14:textId="47918AD3" w:rsidR="004141D4" w:rsidRPr="006545AD" w:rsidRDefault="006E7C70" w:rsidP="008725E6">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a) </w:t>
      </w:r>
      <w:r w:rsidR="00D83EFB" w:rsidRPr="006545AD">
        <w:rPr>
          <w:rFonts w:ascii="Times New Roman" w:eastAsia="Times New Roman" w:hAnsi="Times New Roman" w:cs="Times New Roman"/>
          <w:sz w:val="28"/>
          <w:szCs w:val="28"/>
        </w:rPr>
        <w:t>Chiều dài đường bộ</w:t>
      </w:r>
      <w:r w:rsidRPr="006545AD">
        <w:rPr>
          <w:rFonts w:ascii="Times New Roman" w:eastAsia="Times New Roman" w:hAnsi="Times New Roman" w:cs="Times New Roman"/>
          <w:sz w:val="28"/>
          <w:szCs w:val="28"/>
        </w:rPr>
        <w:t>:</w:t>
      </w:r>
      <w:r w:rsidR="0066396E" w:rsidRPr="006545AD">
        <w:rPr>
          <w:rFonts w:ascii="Times New Roman" w:eastAsia="Times New Roman" w:hAnsi="Times New Roman" w:cs="Times New Roman"/>
          <w:sz w:val="28"/>
          <w:szCs w:val="28"/>
        </w:rPr>
        <w:t xml:space="preserve"> </w:t>
      </w:r>
      <w:r w:rsidR="00D83EFB" w:rsidRPr="006545AD">
        <w:rPr>
          <w:rFonts w:ascii="Times New Roman" w:eastAsia="Times New Roman" w:hAnsi="Times New Roman" w:cs="Times New Roman"/>
          <w:sz w:val="28"/>
          <w:szCs w:val="28"/>
        </w:rPr>
        <w:t>trong phạm vi chỉ tiêu này, chiều dài đường bộ bao gồm đường quốc lộ và đường tỉnh. T</w:t>
      </w:r>
      <w:r w:rsidR="004141D4" w:rsidRPr="006545AD">
        <w:rPr>
          <w:rFonts w:ascii="Times New Roman" w:eastAsia="Times New Roman" w:hAnsi="Times New Roman" w:cs="Times New Roman"/>
          <w:sz w:val="28"/>
          <w:szCs w:val="28"/>
        </w:rPr>
        <w:t>rong đó:</w:t>
      </w:r>
    </w:p>
    <w:p w14:paraId="0B2ABB73" w14:textId="28FE162D" w:rsidR="009D6BE0" w:rsidRPr="006545AD" w:rsidRDefault="004141D4" w:rsidP="008725E6">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w:t>
      </w:r>
      <w:r w:rsidR="00D83EFB" w:rsidRPr="006545AD">
        <w:rPr>
          <w:rFonts w:ascii="Times New Roman" w:eastAsia="Times New Roman" w:hAnsi="Times New Roman" w:cs="Times New Roman"/>
          <w:sz w:val="28"/>
          <w:szCs w:val="28"/>
        </w:rPr>
        <w:t xml:space="preserve">ường quốc lộ </w:t>
      </w:r>
      <w:r w:rsidR="009D6BE0" w:rsidRPr="009D6BE0">
        <w:rPr>
          <w:rFonts w:ascii="Times New Roman" w:eastAsia="Times New Roman" w:hAnsi="Times New Roman" w:cs="Times New Roman"/>
          <w:sz w:val="28"/>
          <w:szCs w:val="28"/>
          <w:lang w:val="en-US"/>
        </w:rPr>
        <w:t xml:space="preserve">là đường nối liền Thủ đô Hà Nội với trung tâm hành chính cấp tỉnh; đường nối liền trung tâm hành chính cấp tỉnh từ ba địa phương trở lên; </w:t>
      </w:r>
      <w:r w:rsidR="009D6BE0" w:rsidRPr="009D6BE0">
        <w:rPr>
          <w:rFonts w:ascii="Times New Roman" w:eastAsia="Times New Roman" w:hAnsi="Times New Roman" w:cs="Times New Roman"/>
          <w:sz w:val="28"/>
          <w:szCs w:val="28"/>
          <w:lang w:val="en-US"/>
        </w:rPr>
        <w:lastRenderedPageBreak/>
        <w:t>đường nối liền từ cảng biển quốc tế, cảng hàng không quốc tế đến các cửa khẩu</w:t>
      </w:r>
      <w:r w:rsidR="009D6BE0">
        <w:rPr>
          <w:rFonts w:ascii="Times New Roman" w:eastAsia="Times New Roman" w:hAnsi="Times New Roman" w:cs="Times New Roman"/>
          <w:sz w:val="28"/>
          <w:szCs w:val="28"/>
          <w:lang w:val="en-US"/>
        </w:rPr>
        <w:t xml:space="preserve"> </w:t>
      </w:r>
      <w:r w:rsidR="009D6BE0" w:rsidRPr="009D6BE0">
        <w:rPr>
          <w:rFonts w:ascii="Times New Roman" w:eastAsia="Times New Roman" w:hAnsi="Times New Roman" w:cs="Times New Roman"/>
          <w:sz w:val="28"/>
          <w:szCs w:val="28"/>
          <w:lang w:val="en-US"/>
        </w:rPr>
        <w:t>quốc tế, cửa khẩu chính trên đường bộ; đường có vị trí đặc biệt quan trọng đối với sự phát triển kinh tế - xã hội của vùng, khu vực;</w:t>
      </w:r>
    </w:p>
    <w:p w14:paraId="7348EDF4" w14:textId="5CDAA278" w:rsidR="00F408D5" w:rsidRPr="006545AD" w:rsidRDefault="004141D4" w:rsidP="008725E6">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r w:rsidR="00D83EFB" w:rsidRPr="006545AD">
        <w:rPr>
          <w:rFonts w:ascii="Times New Roman" w:eastAsia="Times New Roman" w:hAnsi="Times New Roman" w:cs="Times New Roman"/>
          <w:sz w:val="28"/>
          <w:szCs w:val="28"/>
        </w:rPr>
        <w:t xml:space="preserve">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r w:rsidRPr="006545AD">
        <w:rPr>
          <w:rFonts w:ascii="Times New Roman" w:eastAsia="Times New Roman" w:hAnsi="Times New Roman" w:cs="Times New Roman"/>
          <w:sz w:val="28"/>
          <w:szCs w:val="28"/>
        </w:rPr>
        <w:t>.</w:t>
      </w:r>
    </w:p>
    <w:p w14:paraId="4FDDAF50" w14:textId="3B70C19F" w:rsidR="00F408D5" w:rsidRPr="006545AD" w:rsidRDefault="006E7C70" w:rsidP="008725E6">
      <w:pPr>
        <w:spacing w:before="60" w:after="60" w:line="360" w:lineRule="exact"/>
        <w:ind w:firstLine="709"/>
        <w:jc w:val="both"/>
        <w:rPr>
          <w:rFonts w:ascii="Times New Roman" w:eastAsia="Times New Roman" w:hAnsi="Times New Roman" w:cs="Times New Roman"/>
          <w:spacing w:val="-2"/>
          <w:sz w:val="28"/>
          <w:szCs w:val="28"/>
          <w:lang w:val="vi-VN"/>
        </w:rPr>
      </w:pPr>
      <w:r w:rsidRPr="006545AD">
        <w:rPr>
          <w:rFonts w:ascii="Times New Roman" w:eastAsia="Times New Roman" w:hAnsi="Times New Roman" w:cs="Times New Roman"/>
          <w:spacing w:val="-2"/>
          <w:sz w:val="28"/>
          <w:szCs w:val="28"/>
        </w:rPr>
        <w:t>b) Đường bộ cao tốc (hay còn gọi là đường cao tốc) là đường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rút ngắn thời gian hành trình và chỉ cho xe ra, vào ở những điểm nhất định</w:t>
      </w:r>
      <w:r w:rsidR="00B70BB8" w:rsidRPr="006545AD">
        <w:rPr>
          <w:rFonts w:ascii="Times New Roman" w:eastAsia="Times New Roman" w:hAnsi="Times New Roman" w:cs="Times New Roman"/>
          <w:spacing w:val="-2"/>
          <w:sz w:val="28"/>
          <w:szCs w:val="28"/>
        </w:rPr>
        <w:t>.</w:t>
      </w:r>
    </w:p>
    <w:p w14:paraId="069B6BB4" w14:textId="6FC0C86D" w:rsidR="00EA04EC" w:rsidRPr="006545AD" w:rsidRDefault="006E7C70" w:rsidP="008725E6">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 Chiều dài đường sắt: tổng chiều dài của mạng lưới đường sắt đang sử dụng, </w:t>
      </w:r>
      <w:r w:rsidR="00EA04EC" w:rsidRPr="006545AD">
        <w:rPr>
          <w:rFonts w:ascii="Times New Roman" w:eastAsia="Times New Roman" w:hAnsi="Times New Roman" w:cs="Times New Roman"/>
          <w:sz w:val="28"/>
          <w:szCs w:val="28"/>
        </w:rPr>
        <w:t>bao gồm đường sắt quốc gia, đường sắt đô thị tính đến thời điểm báo cáo, cụ thể như sau:</w:t>
      </w:r>
    </w:p>
    <w:p w14:paraId="137F917D" w14:textId="77777777" w:rsidR="00EA04EC" w:rsidRPr="006545AD" w:rsidRDefault="00EA04EC" w:rsidP="008725E6">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Đường sắt quốc gia: là đường sắt phục vụ như cầu vận tải chung của cả nước, từng vùng kinh tế và liên vận quốc tế, bao gồm đường sắt khổ 1000mm, đường sắt khổ 1435mm, đường lồng (đường sắt khổ 1435mm và 1000mm), đường sắt chạy điện.</w:t>
      </w:r>
    </w:p>
    <w:p w14:paraId="1FFD2BA0" w14:textId="77777777" w:rsidR="00EA04EC" w:rsidRPr="006545AD" w:rsidRDefault="00EA04EC" w:rsidP="009E1776">
      <w:pPr>
        <w:spacing w:beforeLines="20" w:before="48" w:afterLines="20" w:after="48" w:line="240" w:lineRule="auto"/>
        <w:ind w:firstLine="709"/>
        <w:jc w:val="both"/>
        <w:rPr>
          <w:rFonts w:ascii="Times New Roman" w:eastAsia="Times New Roman" w:hAnsi="Times New Roman" w:cs="Times New Roman"/>
          <w:spacing w:val="-6"/>
          <w:sz w:val="28"/>
          <w:szCs w:val="28"/>
        </w:rPr>
      </w:pPr>
      <w:r w:rsidRPr="006545AD">
        <w:rPr>
          <w:rFonts w:ascii="Times New Roman" w:eastAsia="Times New Roman" w:hAnsi="Times New Roman" w:cs="Times New Roman"/>
          <w:spacing w:val="-6"/>
          <w:sz w:val="28"/>
          <w:szCs w:val="28"/>
        </w:rPr>
        <w:t>- Đường sắt đô thị: là đường sắt phục vụ nhu cầu đi lại hàng ngày của hành khách ở thành phố, vùng phụ cận, bao gồm đường sắt đi ngầm, đường sắt đi trên cao, đường sắt đi trên mặt đất và một số loại hình giao thông đô thị mới tự động dẫn hướng.</w:t>
      </w:r>
    </w:p>
    <w:p w14:paraId="46E057BB" w14:textId="7DD69791" w:rsidR="00F408D5" w:rsidRPr="006545AD" w:rsidRDefault="00EA04EC" w:rsidP="009E1776">
      <w:pPr>
        <w:spacing w:beforeLines="20" w:before="48" w:afterLines="20" w:after="48" w:line="240" w:lineRule="auto"/>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Đường sắt tốc độ cao là một loại hình của đường sắt quốc gia có tốc </w:t>
      </w:r>
      <w:r w:rsidR="006E7C70" w:rsidRPr="006545AD">
        <w:rPr>
          <w:rFonts w:ascii="Times New Roman" w:eastAsia="Times New Roman" w:hAnsi="Times New Roman" w:cs="Times New Roman"/>
          <w:sz w:val="28"/>
          <w:szCs w:val="28"/>
        </w:rPr>
        <w:t xml:space="preserve">độ thiết kế từ 200km/h trở lên, có khổ đường 1.435mm, đường đôi, điện khí hóa. </w:t>
      </w:r>
    </w:p>
    <w:p w14:paraId="38D6171A" w14:textId="77777777" w:rsidR="00F408D5" w:rsidRPr="006545AD" w:rsidRDefault="00923EF8" w:rsidP="009E1776">
      <w:pPr>
        <w:spacing w:beforeLines="20" w:before="48" w:afterLines="20" w:after="48" w:line="240" w:lineRule="auto"/>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Công thức tính: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437"/>
        <w:gridCol w:w="4077"/>
        <w:gridCol w:w="1221"/>
      </w:tblGrid>
      <w:tr w:rsidR="003B417D" w:rsidRPr="006545AD" w14:paraId="3B0C5CA0" w14:textId="77777777" w:rsidTr="009D431D">
        <w:trPr>
          <w:trHeight w:val="670"/>
        </w:trPr>
        <w:tc>
          <w:tcPr>
            <w:tcW w:w="1839" w:type="pct"/>
            <w:vMerge w:val="restart"/>
            <w:vAlign w:val="center"/>
          </w:tcPr>
          <w:p w14:paraId="084122AE" w14:textId="06035992" w:rsidR="003B417D" w:rsidRPr="006545AD" w:rsidRDefault="003B417D" w:rsidP="009E1776">
            <w:pPr>
              <w:spacing w:beforeLines="20" w:before="48" w:afterLines="20" w:after="48"/>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w:t>
            </w:r>
            <w:r w:rsidR="00F7631E" w:rsidRPr="006545AD">
              <w:rPr>
                <w:rFonts w:ascii="Times New Roman" w:eastAsia="Times New Roman" w:hAnsi="Times New Roman" w:cs="Times New Roman"/>
                <w:sz w:val="28"/>
                <w:szCs w:val="28"/>
              </w:rPr>
              <w:t>hiều dài đường bộ cao tốc trên t</w:t>
            </w:r>
            <w:r w:rsidRPr="006545AD">
              <w:rPr>
                <w:rFonts w:ascii="Times New Roman" w:eastAsia="Times New Roman" w:hAnsi="Times New Roman" w:cs="Times New Roman"/>
                <w:sz w:val="28"/>
                <w:szCs w:val="28"/>
              </w:rPr>
              <w:t xml:space="preserve">ổng chiều dài </w:t>
            </w:r>
            <w:r w:rsidR="00D83EFB" w:rsidRPr="006545AD">
              <w:rPr>
                <w:rFonts w:ascii="Times New Roman" w:eastAsia="Times New Roman" w:hAnsi="Times New Roman" w:cs="Times New Roman"/>
                <w:sz w:val="28"/>
                <w:szCs w:val="28"/>
              </w:rPr>
              <w:t xml:space="preserve">đường bộ </w:t>
            </w:r>
            <w:r w:rsidRPr="006545AD">
              <w:rPr>
                <w:rFonts w:ascii="Times New Roman" w:eastAsia="Times New Roman" w:hAnsi="Times New Roman" w:cs="Times New Roman"/>
                <w:sz w:val="28"/>
                <w:szCs w:val="28"/>
              </w:rPr>
              <w:t>(%)</w:t>
            </w:r>
          </w:p>
        </w:tc>
        <w:tc>
          <w:tcPr>
            <w:tcW w:w="241" w:type="pct"/>
            <w:vMerge w:val="restart"/>
            <w:vAlign w:val="center"/>
          </w:tcPr>
          <w:p w14:paraId="45DC25B5"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247" w:type="pct"/>
            <w:tcBorders>
              <w:bottom w:val="single" w:sz="4" w:space="0" w:color="auto"/>
            </w:tcBorders>
            <w:vAlign w:val="center"/>
          </w:tcPr>
          <w:p w14:paraId="299F68F2" w14:textId="77777777" w:rsidR="003B417D" w:rsidRPr="006545AD" w:rsidRDefault="003B417D" w:rsidP="009E1776">
            <w:pPr>
              <w:spacing w:beforeLines="20" w:before="48" w:afterLines="20" w:after="48"/>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chiều dài </w:t>
            </w:r>
            <w:r w:rsidR="005A7F64" w:rsidRPr="006545AD">
              <w:rPr>
                <w:rFonts w:ascii="Times New Roman" w:eastAsia="Times New Roman" w:hAnsi="Times New Roman" w:cs="Times New Roman"/>
                <w:sz w:val="28"/>
                <w:szCs w:val="28"/>
              </w:rPr>
              <w:t>đường bộ cao tốc</w:t>
            </w:r>
          </w:p>
        </w:tc>
        <w:tc>
          <w:tcPr>
            <w:tcW w:w="673" w:type="pct"/>
            <w:vMerge w:val="restart"/>
            <w:vAlign w:val="center"/>
          </w:tcPr>
          <w:p w14:paraId="6389DDBC" w14:textId="61848585" w:rsidR="003B417D" w:rsidRPr="006545AD" w:rsidRDefault="00BE7109" w:rsidP="009E1776">
            <w:pPr>
              <w:spacing w:beforeLines="20" w:before="48" w:afterLines="20" w:after="48"/>
              <w:jc w:val="both"/>
              <w:rPr>
                <w:rFonts w:ascii="Times New Roman" w:eastAsia="Times New Roman" w:hAnsi="Times New Roman" w:cs="Times New Roman"/>
                <w:sz w:val="28"/>
                <w:szCs w:val="28"/>
              </w:rPr>
            </w:pPr>
            <w:r w:rsidRPr="006545AD">
              <w:rPr>
                <w:sz w:val="26"/>
                <w:szCs w:val="26"/>
              </w:rPr>
              <w:t>×</w:t>
            </w:r>
            <w:r w:rsidR="003B417D" w:rsidRPr="006545AD">
              <w:rPr>
                <w:rFonts w:ascii="Times New Roman" w:eastAsia="Times New Roman" w:hAnsi="Times New Roman" w:cs="Times New Roman"/>
                <w:sz w:val="28"/>
                <w:szCs w:val="28"/>
              </w:rPr>
              <w:t xml:space="preserve"> 100</w:t>
            </w:r>
          </w:p>
        </w:tc>
      </w:tr>
      <w:tr w:rsidR="003B417D" w:rsidRPr="006545AD" w14:paraId="268FF791" w14:textId="77777777" w:rsidTr="009D431D">
        <w:trPr>
          <w:trHeight w:val="656"/>
        </w:trPr>
        <w:tc>
          <w:tcPr>
            <w:tcW w:w="1839" w:type="pct"/>
            <w:vMerge/>
            <w:vAlign w:val="center"/>
          </w:tcPr>
          <w:p w14:paraId="644A2C1B"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p>
        </w:tc>
        <w:tc>
          <w:tcPr>
            <w:tcW w:w="241" w:type="pct"/>
            <w:vMerge/>
            <w:vAlign w:val="center"/>
          </w:tcPr>
          <w:p w14:paraId="0C8AFAAD"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p>
        </w:tc>
        <w:tc>
          <w:tcPr>
            <w:tcW w:w="2247" w:type="pct"/>
            <w:tcBorders>
              <w:top w:val="single" w:sz="4" w:space="0" w:color="auto"/>
            </w:tcBorders>
            <w:vAlign w:val="center"/>
          </w:tcPr>
          <w:p w14:paraId="4ABF83C8" w14:textId="498FE40B" w:rsidR="003B417D" w:rsidRPr="006545AD" w:rsidRDefault="003B417D" w:rsidP="009E1776">
            <w:pPr>
              <w:spacing w:beforeLines="20" w:before="48" w:afterLines="20" w:after="48"/>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chiều dài đường </w:t>
            </w:r>
            <w:r w:rsidR="00D83EFB" w:rsidRPr="006545AD">
              <w:rPr>
                <w:rFonts w:ascii="Times New Roman" w:eastAsia="Times New Roman" w:hAnsi="Times New Roman" w:cs="Times New Roman"/>
                <w:sz w:val="28"/>
                <w:szCs w:val="28"/>
              </w:rPr>
              <w:t>bộ</w:t>
            </w:r>
            <w:r w:rsidRPr="006545AD">
              <w:rPr>
                <w:rFonts w:ascii="Times New Roman" w:eastAsia="Times New Roman" w:hAnsi="Times New Roman" w:cs="Times New Roman"/>
                <w:sz w:val="28"/>
                <w:szCs w:val="28"/>
              </w:rPr>
              <w:t xml:space="preserve">  </w:t>
            </w:r>
          </w:p>
        </w:tc>
        <w:tc>
          <w:tcPr>
            <w:tcW w:w="673" w:type="pct"/>
            <w:vMerge/>
            <w:vAlign w:val="center"/>
          </w:tcPr>
          <w:p w14:paraId="302F6DB1"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p>
        </w:tc>
      </w:tr>
    </w:tbl>
    <w:p w14:paraId="7C194E76" w14:textId="77777777" w:rsidR="003B417D" w:rsidRPr="006545AD" w:rsidRDefault="003B417D" w:rsidP="009E1776">
      <w:pPr>
        <w:spacing w:beforeLines="20" w:before="48" w:afterLines="20" w:after="48" w:line="240" w:lineRule="auto"/>
        <w:jc w:val="both"/>
        <w:rPr>
          <w:rFonts w:ascii="Times New Roman" w:eastAsia="Times New Roman" w:hAnsi="Times New Roman" w:cs="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434"/>
        <w:gridCol w:w="4482"/>
        <w:gridCol w:w="849"/>
      </w:tblGrid>
      <w:tr w:rsidR="003B417D" w:rsidRPr="006545AD" w14:paraId="5F964368" w14:textId="77777777" w:rsidTr="005725BC">
        <w:trPr>
          <w:trHeight w:val="802"/>
        </w:trPr>
        <w:tc>
          <w:tcPr>
            <w:tcW w:w="1823" w:type="pct"/>
            <w:vMerge w:val="restart"/>
            <w:vAlign w:val="center"/>
          </w:tcPr>
          <w:p w14:paraId="71E40E6F" w14:textId="1A94CD80" w:rsidR="003B417D" w:rsidRPr="006545AD" w:rsidRDefault="003B417D" w:rsidP="009E1776">
            <w:pPr>
              <w:spacing w:beforeLines="20" w:before="48" w:afterLines="20" w:after="48"/>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chiều dài đường sắt tốc</w:t>
            </w:r>
            <w:r w:rsidR="00F7631E" w:rsidRPr="006545AD">
              <w:rPr>
                <w:rFonts w:ascii="Times New Roman" w:eastAsia="Times New Roman" w:hAnsi="Times New Roman" w:cs="Times New Roman"/>
                <w:sz w:val="28"/>
                <w:szCs w:val="28"/>
              </w:rPr>
              <w:t xml:space="preserve"> độ cao</w:t>
            </w:r>
            <w:r w:rsidR="00D83EFB" w:rsidRPr="006545AD">
              <w:rPr>
                <w:rFonts w:ascii="Times New Roman" w:eastAsia="Times New Roman" w:hAnsi="Times New Roman" w:cs="Times New Roman"/>
                <w:sz w:val="28"/>
                <w:szCs w:val="28"/>
              </w:rPr>
              <w:t>, đường sắt đô thị</w:t>
            </w:r>
            <w:r w:rsidR="00F7631E" w:rsidRPr="006545AD">
              <w:rPr>
                <w:rFonts w:ascii="Times New Roman" w:eastAsia="Times New Roman" w:hAnsi="Times New Roman" w:cs="Times New Roman"/>
                <w:sz w:val="28"/>
                <w:szCs w:val="28"/>
              </w:rPr>
              <w:t xml:space="preserve"> trên t</w:t>
            </w:r>
            <w:r w:rsidRPr="006545AD">
              <w:rPr>
                <w:rFonts w:ascii="Times New Roman" w:eastAsia="Times New Roman" w:hAnsi="Times New Roman" w:cs="Times New Roman"/>
                <w:sz w:val="28"/>
                <w:szCs w:val="28"/>
              </w:rPr>
              <w:t>ổng chiều dài đường sắt (%)</w:t>
            </w:r>
          </w:p>
        </w:tc>
        <w:tc>
          <w:tcPr>
            <w:tcW w:w="239" w:type="pct"/>
            <w:vMerge w:val="restart"/>
            <w:vAlign w:val="center"/>
          </w:tcPr>
          <w:p w14:paraId="550AA50B"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470" w:type="pct"/>
            <w:tcBorders>
              <w:bottom w:val="single" w:sz="4" w:space="0" w:color="auto"/>
            </w:tcBorders>
            <w:vAlign w:val="center"/>
          </w:tcPr>
          <w:p w14:paraId="146A866B" w14:textId="599C769F" w:rsidR="003B417D" w:rsidRPr="006545AD" w:rsidRDefault="00923EF8" w:rsidP="009E1776">
            <w:pPr>
              <w:spacing w:beforeLines="20" w:before="48" w:afterLines="20" w:after="48"/>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chiều dài đường sắt tốc độ cao</w:t>
            </w:r>
            <w:r w:rsidR="00D83EFB" w:rsidRPr="006545AD">
              <w:rPr>
                <w:rFonts w:ascii="Times New Roman" w:eastAsia="Times New Roman" w:hAnsi="Times New Roman" w:cs="Times New Roman"/>
                <w:sz w:val="28"/>
                <w:szCs w:val="28"/>
              </w:rPr>
              <w:t>, đường sắt đô thị</w:t>
            </w:r>
            <w:r w:rsidRPr="006545AD">
              <w:rPr>
                <w:rFonts w:ascii="Times New Roman" w:eastAsia="Times New Roman" w:hAnsi="Times New Roman" w:cs="Times New Roman"/>
                <w:sz w:val="28"/>
                <w:szCs w:val="28"/>
              </w:rPr>
              <w:t xml:space="preserve"> </w:t>
            </w:r>
          </w:p>
        </w:tc>
        <w:tc>
          <w:tcPr>
            <w:tcW w:w="468" w:type="pct"/>
            <w:vMerge w:val="restart"/>
            <w:vAlign w:val="center"/>
          </w:tcPr>
          <w:p w14:paraId="55B36E2B" w14:textId="34032C30" w:rsidR="003B417D" w:rsidRPr="006545AD" w:rsidRDefault="00BE7109" w:rsidP="009E1776">
            <w:pPr>
              <w:spacing w:beforeLines="20" w:before="48" w:afterLines="20" w:after="48"/>
              <w:jc w:val="both"/>
              <w:rPr>
                <w:rFonts w:ascii="Times New Roman" w:eastAsia="Times New Roman" w:hAnsi="Times New Roman" w:cs="Times New Roman"/>
                <w:sz w:val="28"/>
                <w:szCs w:val="28"/>
              </w:rPr>
            </w:pPr>
            <w:r w:rsidRPr="006545AD">
              <w:rPr>
                <w:sz w:val="26"/>
                <w:szCs w:val="26"/>
              </w:rPr>
              <w:t>×</w:t>
            </w:r>
            <w:r w:rsidR="003B417D" w:rsidRPr="006545AD">
              <w:rPr>
                <w:rFonts w:ascii="Times New Roman" w:eastAsia="Times New Roman" w:hAnsi="Times New Roman" w:cs="Times New Roman"/>
                <w:sz w:val="28"/>
                <w:szCs w:val="28"/>
              </w:rPr>
              <w:t xml:space="preserve"> 100</w:t>
            </w:r>
          </w:p>
        </w:tc>
      </w:tr>
      <w:tr w:rsidR="003B417D" w:rsidRPr="006545AD" w14:paraId="022002D2" w14:textId="77777777" w:rsidTr="005725BC">
        <w:trPr>
          <w:trHeight w:val="785"/>
        </w:trPr>
        <w:tc>
          <w:tcPr>
            <w:tcW w:w="1823" w:type="pct"/>
            <w:vMerge/>
            <w:vAlign w:val="center"/>
          </w:tcPr>
          <w:p w14:paraId="22A4DA2E"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p>
        </w:tc>
        <w:tc>
          <w:tcPr>
            <w:tcW w:w="239" w:type="pct"/>
            <w:vMerge/>
            <w:vAlign w:val="center"/>
          </w:tcPr>
          <w:p w14:paraId="2952D1AE"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p>
        </w:tc>
        <w:tc>
          <w:tcPr>
            <w:tcW w:w="2470" w:type="pct"/>
            <w:tcBorders>
              <w:top w:val="single" w:sz="4" w:space="0" w:color="auto"/>
            </w:tcBorders>
            <w:vAlign w:val="center"/>
          </w:tcPr>
          <w:p w14:paraId="6942D82D" w14:textId="77777777" w:rsidR="003B417D" w:rsidRPr="006545AD" w:rsidRDefault="00923EF8" w:rsidP="009E1776">
            <w:pPr>
              <w:spacing w:beforeLines="20" w:before="48" w:afterLines="20" w:after="48"/>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chiều dài đường sắt</w:t>
            </w:r>
          </w:p>
        </w:tc>
        <w:tc>
          <w:tcPr>
            <w:tcW w:w="468" w:type="pct"/>
            <w:vMerge/>
            <w:vAlign w:val="center"/>
          </w:tcPr>
          <w:p w14:paraId="446C19A1" w14:textId="77777777" w:rsidR="003B417D" w:rsidRPr="006545AD" w:rsidRDefault="003B417D" w:rsidP="009E1776">
            <w:pPr>
              <w:spacing w:beforeLines="20" w:before="48" w:afterLines="20" w:after="48"/>
              <w:jc w:val="both"/>
              <w:rPr>
                <w:rFonts w:ascii="Times New Roman" w:eastAsia="Times New Roman" w:hAnsi="Times New Roman" w:cs="Times New Roman"/>
                <w:sz w:val="28"/>
                <w:szCs w:val="28"/>
              </w:rPr>
            </w:pPr>
          </w:p>
        </w:tc>
      </w:tr>
    </w:tbl>
    <w:p w14:paraId="32C6F1D3" w14:textId="77777777" w:rsidR="00E83F17" w:rsidRPr="006545AD" w:rsidRDefault="00E83F17" w:rsidP="009E1776">
      <w:pPr>
        <w:spacing w:beforeLines="20" w:before="48" w:afterLines="20" w:after="48" w:line="240" w:lineRule="auto"/>
        <w:jc w:val="both"/>
        <w:rPr>
          <w:rFonts w:ascii="Times New Roman" w:eastAsia="Times New Roman" w:hAnsi="Times New Roman" w:cs="Times New Roman"/>
          <w:sz w:val="28"/>
          <w:szCs w:val="28"/>
        </w:rPr>
      </w:pPr>
    </w:p>
    <w:p w14:paraId="1E1EC1A7" w14:textId="77777777" w:rsidR="00F408D5" w:rsidRPr="006545AD" w:rsidRDefault="006E7C70" w:rsidP="009E1776">
      <w:pPr>
        <w:spacing w:beforeLines="20" w:before="48" w:afterLines="20" w:after="48" w:line="240" w:lineRule="auto"/>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CF7E289" w14:textId="77777777" w:rsidR="008725E6" w:rsidRPr="006545AD" w:rsidRDefault="006E7C70" w:rsidP="009E1776">
      <w:pPr>
        <w:spacing w:beforeLines="20" w:before="48" w:afterLines="20" w:after="48" w:line="240" w:lineRule="auto"/>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Đường bộ cao tốc; </w:t>
      </w:r>
    </w:p>
    <w:p w14:paraId="6CBA6474" w14:textId="77777777" w:rsidR="008725E6" w:rsidRPr="006545AD" w:rsidRDefault="008725E6" w:rsidP="009E1776">
      <w:pPr>
        <w:spacing w:beforeLines="20" w:before="48" w:afterLines="20" w:after="48" w:line="240" w:lineRule="auto"/>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w:t>
      </w:r>
      <w:r w:rsidR="006E7C70" w:rsidRPr="006545AD">
        <w:rPr>
          <w:rFonts w:ascii="Times New Roman" w:eastAsia="Times New Roman" w:hAnsi="Times New Roman" w:cs="Times New Roman"/>
          <w:sz w:val="28"/>
          <w:szCs w:val="28"/>
        </w:rPr>
        <w:t xml:space="preserve">ường sắt tốc độ cao; </w:t>
      </w:r>
    </w:p>
    <w:p w14:paraId="45ACA94E" w14:textId="77777777" w:rsidR="00F408D5" w:rsidRPr="006545AD" w:rsidRDefault="008725E6" w:rsidP="009E1776">
      <w:pPr>
        <w:spacing w:beforeLines="20" w:before="48" w:afterLines="20" w:after="48" w:line="240" w:lineRule="auto"/>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w:t>
      </w:r>
      <w:r w:rsidR="006E7C70" w:rsidRPr="006545AD">
        <w:rPr>
          <w:rFonts w:ascii="Times New Roman" w:eastAsia="Times New Roman" w:hAnsi="Times New Roman" w:cs="Times New Roman"/>
          <w:sz w:val="28"/>
          <w:szCs w:val="28"/>
        </w:rPr>
        <w:t>ường sắt đô thị</w:t>
      </w:r>
      <w:r w:rsidR="005A7F64" w:rsidRPr="006545AD">
        <w:rPr>
          <w:rFonts w:ascii="Times New Roman" w:eastAsia="Times New Roman" w:hAnsi="Times New Roman" w:cs="Times New Roman"/>
          <w:sz w:val="28"/>
          <w:szCs w:val="28"/>
        </w:rPr>
        <w:t>.</w:t>
      </w:r>
    </w:p>
    <w:p w14:paraId="0BE7F639" w14:textId="77777777" w:rsidR="00F408D5" w:rsidRPr="006545AD" w:rsidRDefault="006E7C70" w:rsidP="009E1776">
      <w:pPr>
        <w:spacing w:beforeLines="20" w:before="48" w:afterLines="20" w:after="48" w:line="240" w:lineRule="auto"/>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5A7F64" w:rsidRPr="006545AD">
        <w:rPr>
          <w:rFonts w:ascii="Times New Roman" w:eastAsia="Times New Roman" w:hAnsi="Times New Roman" w:cs="Times New Roman"/>
          <w:sz w:val="28"/>
          <w:szCs w:val="28"/>
        </w:rPr>
        <w:t>.</w:t>
      </w:r>
    </w:p>
    <w:p w14:paraId="5CDD96DD" w14:textId="4FA34B08" w:rsidR="00F408D5" w:rsidRPr="006545AD" w:rsidRDefault="006E7C70" w:rsidP="009E1776">
      <w:pPr>
        <w:spacing w:beforeLines="20" w:before="48" w:afterLines="20" w:after="48" w:line="240" w:lineRule="auto"/>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lastRenderedPageBreak/>
        <w:t xml:space="preserve">4. Nguồn số liệu: </w:t>
      </w:r>
      <w:r w:rsidR="002A29EC" w:rsidRPr="006545AD">
        <w:rPr>
          <w:rFonts w:ascii="Times New Roman" w:eastAsia="Times New Roman" w:hAnsi="Times New Roman" w:cs="Times New Roman"/>
          <w:sz w:val="28"/>
          <w:szCs w:val="28"/>
        </w:rPr>
        <w:t>Chế độ</w:t>
      </w:r>
      <w:r w:rsidR="002A29EC" w:rsidRPr="006545AD">
        <w:rPr>
          <w:rFonts w:ascii="Times New Roman" w:eastAsia="Times New Roman" w:hAnsi="Times New Roman" w:cs="Times New Roman"/>
          <w:b/>
          <w:sz w:val="28"/>
          <w:szCs w:val="28"/>
        </w:rPr>
        <w:t xml:space="preserve"> </w:t>
      </w:r>
      <w:r w:rsidR="002A29EC" w:rsidRPr="006545AD">
        <w:rPr>
          <w:rFonts w:ascii="Times New Roman" w:eastAsia="Times New Roman" w:hAnsi="Times New Roman" w:cs="Times New Roman"/>
          <w:sz w:val="28"/>
          <w:szCs w:val="28"/>
        </w:rPr>
        <w:t>b</w:t>
      </w:r>
      <w:r w:rsidRPr="006545AD">
        <w:rPr>
          <w:rFonts w:ascii="Times New Roman" w:eastAsia="Times New Roman" w:hAnsi="Times New Roman" w:cs="Times New Roman"/>
          <w:sz w:val="28"/>
          <w:szCs w:val="28"/>
        </w:rPr>
        <w:t xml:space="preserve">áo cáo </w:t>
      </w:r>
      <w:r w:rsidR="002A29EC" w:rsidRPr="006545AD">
        <w:rPr>
          <w:rFonts w:ascii="Times New Roman" w:eastAsia="Times New Roman" w:hAnsi="Times New Roman" w:cs="Times New Roman"/>
          <w:sz w:val="28"/>
          <w:szCs w:val="28"/>
        </w:rPr>
        <w:t>ngành</w:t>
      </w:r>
      <w:r w:rsidRPr="006545AD">
        <w:rPr>
          <w:rFonts w:ascii="Times New Roman" w:eastAsia="Times New Roman" w:hAnsi="Times New Roman" w:cs="Times New Roman"/>
          <w:sz w:val="28"/>
          <w:szCs w:val="28"/>
        </w:rPr>
        <w:t xml:space="preserve"> </w:t>
      </w:r>
      <w:r w:rsidR="00574BDA" w:rsidRPr="006545AD">
        <w:rPr>
          <w:rFonts w:ascii="Times New Roman" w:eastAsia="Times New Roman" w:hAnsi="Times New Roman" w:cs="Times New Roman"/>
          <w:sz w:val="28"/>
          <w:szCs w:val="28"/>
        </w:rPr>
        <w:t xml:space="preserve">Giao thông </w:t>
      </w:r>
      <w:r w:rsidR="008A0E6C" w:rsidRPr="006545AD">
        <w:rPr>
          <w:rFonts w:ascii="Times New Roman" w:eastAsia="Times New Roman" w:hAnsi="Times New Roman" w:cs="Times New Roman"/>
          <w:sz w:val="28"/>
          <w:szCs w:val="28"/>
        </w:rPr>
        <w:t>v</w:t>
      </w:r>
      <w:r w:rsidR="00574BDA" w:rsidRPr="006545AD">
        <w:rPr>
          <w:rFonts w:ascii="Times New Roman" w:eastAsia="Times New Roman" w:hAnsi="Times New Roman" w:cs="Times New Roman"/>
          <w:sz w:val="28"/>
          <w:szCs w:val="28"/>
        </w:rPr>
        <w:t>ận tải</w:t>
      </w:r>
      <w:r w:rsidR="005A7F64" w:rsidRPr="006545AD">
        <w:rPr>
          <w:rFonts w:ascii="Times New Roman" w:eastAsia="Times New Roman" w:hAnsi="Times New Roman" w:cs="Times New Roman"/>
          <w:sz w:val="28"/>
          <w:szCs w:val="28"/>
        </w:rPr>
        <w:t>.</w:t>
      </w:r>
    </w:p>
    <w:p w14:paraId="553E7711" w14:textId="77777777" w:rsidR="00D83EFB" w:rsidRPr="006545AD" w:rsidRDefault="006E7C70" w:rsidP="009E1776">
      <w:pPr>
        <w:spacing w:beforeLines="20" w:before="48" w:afterLines="20" w:after="48" w:line="240" w:lineRule="auto"/>
        <w:ind w:firstLine="720"/>
        <w:jc w:val="both"/>
        <w:rPr>
          <w:rFonts w:ascii="Times New Roman" w:eastAsia="Times New Roman" w:hAnsi="Times New Roman" w:cs="Times New Roman"/>
          <w:b/>
          <w:sz w:val="28"/>
          <w:szCs w:val="28"/>
          <w:lang w:val="vi-VN"/>
        </w:rPr>
      </w:pPr>
      <w:r w:rsidRPr="006545AD">
        <w:rPr>
          <w:rFonts w:ascii="Times New Roman" w:eastAsia="Times New Roman" w:hAnsi="Times New Roman" w:cs="Times New Roman"/>
          <w:b/>
          <w:sz w:val="28"/>
          <w:szCs w:val="28"/>
        </w:rPr>
        <w:t>5. Cơ quan chịu trách nhiệm thu thập, tổng hợp:</w:t>
      </w:r>
      <w:r w:rsidR="00B90463" w:rsidRPr="006545AD">
        <w:rPr>
          <w:rFonts w:ascii="Times New Roman" w:eastAsia="Times New Roman" w:hAnsi="Times New Roman" w:cs="Times New Roman"/>
          <w:b/>
          <w:sz w:val="28"/>
          <w:szCs w:val="28"/>
          <w:lang w:val="vi-VN"/>
        </w:rPr>
        <w:t xml:space="preserve"> </w:t>
      </w:r>
    </w:p>
    <w:p w14:paraId="74DD100C" w14:textId="77777777" w:rsidR="00D83EFB" w:rsidRPr="006545AD" w:rsidRDefault="00D83EFB" w:rsidP="009E1776">
      <w:pPr>
        <w:spacing w:beforeLines="20" w:before="48" w:afterLines="20" w:after="48" w:line="240" w:lineRule="auto"/>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lang w:val="en-US"/>
        </w:rPr>
        <w:t xml:space="preserve">- </w:t>
      </w:r>
      <w:r w:rsidRPr="009E1776">
        <w:rPr>
          <w:rFonts w:ascii="Times New Roman" w:eastAsia="Times New Roman" w:hAnsi="Times New Roman" w:cs="Times New Roman"/>
          <w:sz w:val="28"/>
          <w:szCs w:val="28"/>
          <w:lang w:val="en-US"/>
        </w:rPr>
        <w:t xml:space="preserve">Chủ trì: </w:t>
      </w:r>
      <w:r w:rsidR="006E7C70" w:rsidRPr="006545AD">
        <w:rPr>
          <w:rFonts w:ascii="Times New Roman" w:eastAsia="Times New Roman" w:hAnsi="Times New Roman" w:cs="Times New Roman"/>
          <w:sz w:val="28"/>
          <w:szCs w:val="28"/>
        </w:rPr>
        <w:t xml:space="preserve">Bộ </w:t>
      </w:r>
      <w:r w:rsidR="00574BDA" w:rsidRPr="006545AD">
        <w:rPr>
          <w:rFonts w:ascii="Times New Roman" w:eastAsia="Times New Roman" w:hAnsi="Times New Roman" w:cs="Times New Roman"/>
          <w:sz w:val="28"/>
          <w:szCs w:val="28"/>
        </w:rPr>
        <w:t xml:space="preserve">Giao thông </w:t>
      </w:r>
      <w:r w:rsidR="008A0E6C" w:rsidRPr="006545AD">
        <w:rPr>
          <w:rFonts w:ascii="Times New Roman" w:eastAsia="Times New Roman" w:hAnsi="Times New Roman" w:cs="Times New Roman"/>
          <w:sz w:val="28"/>
          <w:szCs w:val="28"/>
        </w:rPr>
        <w:t>v</w:t>
      </w:r>
      <w:r w:rsidR="00574BDA" w:rsidRPr="006545AD">
        <w:rPr>
          <w:rFonts w:ascii="Times New Roman" w:eastAsia="Times New Roman" w:hAnsi="Times New Roman" w:cs="Times New Roman"/>
          <w:sz w:val="28"/>
          <w:szCs w:val="28"/>
        </w:rPr>
        <w:t>ận tải</w:t>
      </w:r>
      <w:r w:rsidRPr="006545AD">
        <w:rPr>
          <w:rFonts w:ascii="Times New Roman" w:eastAsia="Times New Roman" w:hAnsi="Times New Roman" w:cs="Times New Roman"/>
          <w:sz w:val="28"/>
          <w:szCs w:val="28"/>
        </w:rPr>
        <w:t>;</w:t>
      </w:r>
    </w:p>
    <w:p w14:paraId="3BF171EE" w14:textId="302C6811" w:rsidR="00F408D5" w:rsidRPr="009E1776" w:rsidRDefault="00D83EFB" w:rsidP="009E1776">
      <w:pPr>
        <w:spacing w:beforeLines="20" w:before="48" w:afterLines="20" w:after="48" w:line="240" w:lineRule="auto"/>
        <w:ind w:firstLine="720"/>
        <w:jc w:val="both"/>
        <w:rPr>
          <w:rFonts w:ascii="Times New Roman" w:eastAsia="Times New Roman" w:hAnsi="Times New Roman" w:cs="Times New Roman"/>
          <w:b/>
          <w:sz w:val="28"/>
          <w:szCs w:val="28"/>
          <w:lang w:val="vi-VN"/>
        </w:rPr>
      </w:pPr>
      <w:r w:rsidRPr="006545AD">
        <w:rPr>
          <w:rFonts w:ascii="Times New Roman" w:eastAsia="Times New Roman" w:hAnsi="Times New Roman" w:cs="Times New Roman"/>
          <w:sz w:val="28"/>
          <w:szCs w:val="28"/>
        </w:rPr>
        <w:t>- Phối hợp: Ủy ban nhân dân tỉnh, thành phố trực thuộc Trung ương cung cấp số liệu đường tỉnh.</w:t>
      </w:r>
    </w:p>
    <w:p w14:paraId="261812FF" w14:textId="32A1277F" w:rsidR="000461CF" w:rsidRPr="006545AD" w:rsidRDefault="00BD7F28" w:rsidP="005725BC">
      <w:pPr>
        <w:spacing w:before="24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0461CF" w:rsidRPr="006545AD">
        <w:rPr>
          <w:rFonts w:ascii="Times New Roman" w:eastAsia="Times New Roman" w:hAnsi="Times New Roman" w:cs="Times New Roman"/>
          <w:b/>
          <w:sz w:val="28"/>
          <w:szCs w:val="28"/>
        </w:rPr>
        <w:t xml:space="preserve">III. Lĩnh vực nông nghiệp </w:t>
      </w:r>
    </w:p>
    <w:p w14:paraId="38AC828A" w14:textId="68E114FF" w:rsidR="00F408D5" w:rsidRPr="006545AD" w:rsidRDefault="000461CF"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Bold" w:eastAsia="Times New Roman" w:hAnsi="Times New Roman Bold" w:cs="Times New Roman"/>
          <w:b/>
          <w:spacing w:val="-2"/>
          <w:sz w:val="28"/>
          <w:szCs w:val="28"/>
        </w:rPr>
        <w:t>2.12</w:t>
      </w:r>
      <w:r w:rsidR="00FE1E0A" w:rsidRPr="006545AD">
        <w:rPr>
          <w:rFonts w:ascii="Times New Roman Bold" w:eastAsia="Times New Roman" w:hAnsi="Times New Roman Bold" w:cs="Times New Roman"/>
          <w:b/>
          <w:spacing w:val="-2"/>
          <w:sz w:val="28"/>
          <w:szCs w:val="28"/>
        </w:rPr>
        <w:t>. L</w:t>
      </w:r>
      <w:r w:rsidR="00FE1E0A" w:rsidRPr="006545AD">
        <w:rPr>
          <w:rFonts w:ascii="Times New Roman Bold" w:eastAsia="Times New Roman" w:hAnsi="Times New Roman Bold" w:cs="Times New Roman" w:hint="eastAsia"/>
          <w:b/>
          <w:spacing w:val="-2"/>
          <w:sz w:val="28"/>
          <w:szCs w:val="28"/>
        </w:rPr>
        <w:t>ư</w:t>
      </w:r>
      <w:r w:rsidR="00FE1E0A" w:rsidRPr="006545AD">
        <w:rPr>
          <w:rFonts w:ascii="Times New Roman Bold" w:eastAsia="Times New Roman" w:hAnsi="Times New Roman Bold" w:cs="Times New Roman"/>
          <w:b/>
          <w:spacing w:val="-2"/>
          <w:sz w:val="28"/>
          <w:szCs w:val="28"/>
        </w:rPr>
        <w:t>ợng</w:t>
      </w:r>
      <w:r w:rsidR="006E7C70" w:rsidRPr="006545AD">
        <w:rPr>
          <w:rFonts w:ascii="Times New Roman Bold" w:eastAsia="Times New Roman" w:hAnsi="Times New Roman Bold" w:cs="Times New Roman"/>
          <w:b/>
          <w:spacing w:val="-2"/>
          <w:sz w:val="28"/>
          <w:szCs w:val="28"/>
        </w:rPr>
        <w:t xml:space="preserve"> ph</w:t>
      </w:r>
      <w:r w:rsidR="006E7C70" w:rsidRPr="006545AD">
        <w:rPr>
          <w:rFonts w:ascii="Times New Roman Bold" w:eastAsia="Times New Roman" w:hAnsi="Times New Roman Bold" w:cs="Times New Roman" w:hint="eastAsia"/>
          <w:b/>
          <w:spacing w:val="-2"/>
          <w:sz w:val="28"/>
          <w:szCs w:val="28"/>
        </w:rPr>
        <w:t>â</w:t>
      </w:r>
      <w:r w:rsidR="006E7C70" w:rsidRPr="006545AD">
        <w:rPr>
          <w:rFonts w:ascii="Times New Roman Bold" w:eastAsia="Times New Roman" w:hAnsi="Times New Roman Bold" w:cs="Times New Roman"/>
          <w:b/>
          <w:spacing w:val="-2"/>
          <w:sz w:val="28"/>
          <w:szCs w:val="28"/>
        </w:rPr>
        <w:t>n b</w:t>
      </w:r>
      <w:r w:rsidR="006E7C70" w:rsidRPr="006545AD">
        <w:rPr>
          <w:rFonts w:ascii="Times New Roman Bold" w:eastAsia="Times New Roman" w:hAnsi="Times New Roman Bold" w:cs="Times New Roman" w:hint="eastAsia"/>
          <w:b/>
          <w:spacing w:val="-2"/>
          <w:sz w:val="28"/>
          <w:szCs w:val="28"/>
        </w:rPr>
        <w:t>ó</w:t>
      </w:r>
      <w:r w:rsidR="006E7C70" w:rsidRPr="006545AD">
        <w:rPr>
          <w:rFonts w:ascii="Times New Roman Bold" w:eastAsia="Times New Roman" w:hAnsi="Times New Roman Bold" w:cs="Times New Roman"/>
          <w:b/>
          <w:spacing w:val="-2"/>
          <w:sz w:val="28"/>
          <w:szCs w:val="28"/>
        </w:rPr>
        <w:t>n h</w:t>
      </w:r>
      <w:r w:rsidR="006E7C70" w:rsidRPr="006545AD">
        <w:rPr>
          <w:rFonts w:ascii="Times New Roman Bold" w:eastAsia="Times New Roman" w:hAnsi="Times New Roman Bold" w:cs="Times New Roman" w:hint="eastAsia"/>
          <w:b/>
          <w:spacing w:val="-2"/>
          <w:sz w:val="28"/>
          <w:szCs w:val="28"/>
        </w:rPr>
        <w:t>ó</w:t>
      </w:r>
      <w:r w:rsidR="006E7C70" w:rsidRPr="006545AD">
        <w:rPr>
          <w:rFonts w:ascii="Times New Roman Bold" w:eastAsia="Times New Roman" w:hAnsi="Times New Roman Bold" w:cs="Times New Roman"/>
          <w:b/>
          <w:spacing w:val="-2"/>
          <w:sz w:val="28"/>
          <w:szCs w:val="28"/>
        </w:rPr>
        <w:t>a học b</w:t>
      </w:r>
      <w:r w:rsidR="006E7C70" w:rsidRPr="006545AD">
        <w:rPr>
          <w:rFonts w:ascii="Times New Roman Bold" w:eastAsia="Times New Roman" w:hAnsi="Times New Roman Bold" w:cs="Times New Roman" w:hint="eastAsia"/>
          <w:b/>
          <w:spacing w:val="-2"/>
          <w:sz w:val="28"/>
          <w:szCs w:val="28"/>
        </w:rPr>
        <w:t>ì</w:t>
      </w:r>
      <w:r w:rsidR="006E7C70" w:rsidRPr="006545AD">
        <w:rPr>
          <w:rFonts w:ascii="Times New Roman Bold" w:eastAsia="Times New Roman" w:hAnsi="Times New Roman Bold" w:cs="Times New Roman"/>
          <w:b/>
          <w:spacing w:val="-2"/>
          <w:sz w:val="28"/>
          <w:szCs w:val="28"/>
        </w:rPr>
        <w:t>nh qu</w:t>
      </w:r>
      <w:r w:rsidR="006E7C70" w:rsidRPr="006545AD">
        <w:rPr>
          <w:rFonts w:ascii="Times New Roman Bold" w:eastAsia="Times New Roman" w:hAnsi="Times New Roman Bold" w:cs="Times New Roman" w:hint="eastAsia"/>
          <w:b/>
          <w:spacing w:val="-2"/>
          <w:sz w:val="28"/>
          <w:szCs w:val="28"/>
        </w:rPr>
        <w:t>â</w:t>
      </w:r>
      <w:r w:rsidR="006E7C70" w:rsidRPr="006545AD">
        <w:rPr>
          <w:rFonts w:ascii="Times New Roman Bold" w:eastAsia="Times New Roman" w:hAnsi="Times New Roman Bold" w:cs="Times New Roman"/>
          <w:b/>
          <w:spacing w:val="-2"/>
          <w:sz w:val="28"/>
          <w:szCs w:val="28"/>
        </w:rPr>
        <w:t>n sử dụng tr</w:t>
      </w:r>
      <w:r w:rsidR="006E7C70" w:rsidRPr="006545AD">
        <w:rPr>
          <w:rFonts w:ascii="Times New Roman Bold" w:eastAsia="Times New Roman" w:hAnsi="Times New Roman Bold" w:cs="Times New Roman" w:hint="eastAsia"/>
          <w:b/>
          <w:spacing w:val="-2"/>
          <w:sz w:val="28"/>
          <w:szCs w:val="28"/>
        </w:rPr>
        <w:t>ê</w:t>
      </w:r>
      <w:r w:rsidR="006E7C70" w:rsidRPr="006545AD">
        <w:rPr>
          <w:rFonts w:ascii="Times New Roman Bold" w:eastAsia="Times New Roman" w:hAnsi="Times New Roman Bold" w:cs="Times New Roman"/>
          <w:b/>
          <w:spacing w:val="-2"/>
          <w:sz w:val="28"/>
          <w:szCs w:val="28"/>
        </w:rPr>
        <w:t xml:space="preserve">n một hecta (1 ha) </w:t>
      </w:r>
      <w:r w:rsidR="006E7C70" w:rsidRPr="006545AD">
        <w:rPr>
          <w:rFonts w:ascii="Times New Roman" w:eastAsia="Times New Roman" w:hAnsi="Times New Roman" w:cs="Times New Roman"/>
          <w:b/>
          <w:sz w:val="28"/>
          <w:szCs w:val="28"/>
        </w:rPr>
        <w:t>đất trồng trọt</w:t>
      </w:r>
    </w:p>
    <w:p w14:paraId="4D18C21F"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49DBFEDF" w14:textId="77777777" w:rsidR="00F408D5"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Lượng phân bón hoá học bình quân được sử dụng trên 1 ha đất trồng trọt là lượng phân bón hoá học bình quân đã được sử dụng trên 1 ha đất trồng trọt trong thời gian 01 năm.</w:t>
      </w:r>
    </w:p>
    <w:p w14:paraId="17CD8229" w14:textId="53527181" w:rsidR="00F408D5" w:rsidRPr="006545AD" w:rsidRDefault="00923EF8" w:rsidP="00923EF8">
      <w:pPr>
        <w:spacing w:before="60" w:after="6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pacing w:val="-4"/>
          <w:sz w:val="28"/>
          <w:szCs w:val="28"/>
        </w:rPr>
        <w:t>Phân bón hóa học (còn gọi là phân bón vô cơ) gồm các loại phân bón được sản xuất từ nguyên liệu chính là các chất vô cơ hoặc hữu cơ tổng hợp, được xử lý qua quá trình hóa học hoặc chế biến khoáng sản và tùy theo thành phần, hàm lượng hoặc chức năng của chỉ tiêu chất lượng chính đối với cây trồng hoặc liên kết hóa học của các nguyên tố dinh dưỡng trong phân bón được phân loại chi tiết trong quy chuẩn kỹ thuật quốc gia (</w:t>
      </w:r>
      <w:r w:rsidR="000E0070" w:rsidRPr="006545AD">
        <w:rPr>
          <w:rFonts w:ascii="Times New Roman" w:eastAsia="Times New Roman" w:hAnsi="Times New Roman" w:cs="Times New Roman"/>
          <w:spacing w:val="-4"/>
          <w:sz w:val="28"/>
          <w:szCs w:val="28"/>
          <w:lang w:val="vi-VN"/>
        </w:rPr>
        <w:t>K</w:t>
      </w:r>
      <w:r w:rsidR="006E7C70" w:rsidRPr="006545AD">
        <w:rPr>
          <w:rFonts w:ascii="Times New Roman" w:eastAsia="Times New Roman" w:hAnsi="Times New Roman" w:cs="Times New Roman"/>
          <w:spacing w:val="-4"/>
          <w:sz w:val="28"/>
          <w:szCs w:val="28"/>
        </w:rPr>
        <w:t>hoản 1 Điều 3 Nghị định số 84/2019/NĐ-CP</w:t>
      </w:r>
      <w:r w:rsidR="00492230" w:rsidRPr="006545AD">
        <w:rPr>
          <w:rFonts w:ascii="Times New Roman" w:eastAsia="Times New Roman" w:hAnsi="Times New Roman" w:cs="Times New Roman"/>
          <w:spacing w:val="-4"/>
          <w:sz w:val="28"/>
          <w:szCs w:val="28"/>
          <w:lang w:val="vi-VN"/>
        </w:rPr>
        <w:t xml:space="preserve"> của Chính Phủ</w:t>
      </w:r>
      <w:r w:rsidR="006E7C70" w:rsidRPr="006545AD">
        <w:rPr>
          <w:rFonts w:ascii="Times New Roman" w:eastAsia="Times New Roman" w:hAnsi="Times New Roman" w:cs="Times New Roman"/>
          <w:spacing w:val="-4"/>
          <w:sz w:val="28"/>
          <w:szCs w:val="28"/>
        </w:rPr>
        <w:t>).</w:t>
      </w:r>
    </w:p>
    <w:p w14:paraId="42072DDF" w14:textId="55A050E1" w:rsidR="00F408D5"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7B0EDE" w:rsidRPr="006545AD">
        <w:rPr>
          <w:rFonts w:ascii="Times New Roman" w:eastAsia="Times New Roman" w:hAnsi="Times New Roman" w:cs="Times New Roman"/>
          <w:sz w:val="28"/>
          <w:szCs w:val="28"/>
        </w:rPr>
        <w:t>Trong p</w:t>
      </w:r>
      <w:r w:rsidR="002E18D8" w:rsidRPr="006545AD">
        <w:rPr>
          <w:rFonts w:ascii="Times New Roman" w:eastAsia="Times New Roman" w:hAnsi="Times New Roman" w:cs="Times New Roman"/>
          <w:sz w:val="28"/>
          <w:szCs w:val="28"/>
        </w:rPr>
        <w:t>hạm vi của Thông tư này, đ</w:t>
      </w:r>
      <w:r w:rsidR="006E7C70" w:rsidRPr="006545AD">
        <w:rPr>
          <w:rFonts w:ascii="Times New Roman" w:eastAsia="Times New Roman" w:hAnsi="Times New Roman" w:cs="Times New Roman"/>
          <w:sz w:val="28"/>
          <w:szCs w:val="28"/>
        </w:rPr>
        <w:t>ất trồng trọt là đất nông nghiệp có gieo trồng cây hằng năm hoặc cây lâu năm.</w:t>
      </w:r>
    </w:p>
    <w:p w14:paraId="0CC4EA57" w14:textId="1BCF33DB" w:rsidR="00F408D5"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Diện tích gieo trồng là diện tích các lần gieo trồng các loại cây qua các vụ trong năm cộng lại.</w:t>
      </w:r>
    </w:p>
    <w:p w14:paraId="795EC9DE" w14:textId="77777777" w:rsidR="00923EF8" w:rsidRPr="006545AD" w:rsidRDefault="00923EF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Công thức tính: </w:t>
      </w:r>
    </w:p>
    <w:tbl>
      <w:tblPr>
        <w:tblStyle w:val="TableGrid"/>
        <w:tblW w:w="8931" w:type="dxa"/>
        <w:jc w:val="center"/>
        <w:tblLook w:val="04A0" w:firstRow="1" w:lastRow="0" w:firstColumn="1" w:lastColumn="0" w:noHBand="0" w:noVBand="1"/>
      </w:tblPr>
      <w:tblGrid>
        <w:gridCol w:w="3840"/>
        <w:gridCol w:w="696"/>
        <w:gridCol w:w="4395"/>
      </w:tblGrid>
      <w:tr w:rsidR="00B4030C" w:rsidRPr="006545AD" w14:paraId="51B5BAC2" w14:textId="77777777" w:rsidTr="005725BC">
        <w:trPr>
          <w:trHeight w:val="975"/>
          <w:jc w:val="center"/>
        </w:trPr>
        <w:tc>
          <w:tcPr>
            <w:tcW w:w="3840" w:type="dxa"/>
            <w:vMerge w:val="restart"/>
            <w:tcBorders>
              <w:top w:val="nil"/>
              <w:left w:val="nil"/>
              <w:bottom w:val="nil"/>
              <w:right w:val="nil"/>
            </w:tcBorders>
            <w:vAlign w:val="center"/>
          </w:tcPr>
          <w:p w14:paraId="447347AE" w14:textId="77777777" w:rsidR="00B4030C" w:rsidRPr="006545AD" w:rsidRDefault="00B4030C" w:rsidP="008725E6">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Lượng phân bón hoá học bình quân được sử dụng trên 1 ha đất trồng trọt (Kg/ha)</w:t>
            </w:r>
          </w:p>
        </w:tc>
        <w:tc>
          <w:tcPr>
            <w:tcW w:w="696" w:type="dxa"/>
            <w:vMerge w:val="restart"/>
            <w:tcBorders>
              <w:top w:val="nil"/>
              <w:left w:val="nil"/>
              <w:bottom w:val="nil"/>
              <w:right w:val="nil"/>
            </w:tcBorders>
            <w:vAlign w:val="center"/>
          </w:tcPr>
          <w:p w14:paraId="1591A5C5" w14:textId="77777777" w:rsidR="00B4030C" w:rsidRPr="006545AD" w:rsidRDefault="00B4030C"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395" w:type="dxa"/>
            <w:tcBorders>
              <w:top w:val="nil"/>
              <w:left w:val="nil"/>
              <w:bottom w:val="single" w:sz="4" w:space="0" w:color="auto"/>
              <w:right w:val="nil"/>
            </w:tcBorders>
            <w:vAlign w:val="center"/>
          </w:tcPr>
          <w:p w14:paraId="0F913BF4" w14:textId="77777777" w:rsidR="00B4030C" w:rsidRPr="006545AD" w:rsidRDefault="00B4030C" w:rsidP="0075074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lượng phân bón hoá học thực tế được sử dụng trong trồng trọt (kg)</w:t>
            </w:r>
          </w:p>
        </w:tc>
      </w:tr>
      <w:tr w:rsidR="00B4030C" w:rsidRPr="006545AD" w14:paraId="57926BD4" w14:textId="77777777" w:rsidTr="005725BC">
        <w:trPr>
          <w:trHeight w:val="573"/>
          <w:jc w:val="center"/>
        </w:trPr>
        <w:tc>
          <w:tcPr>
            <w:tcW w:w="3840" w:type="dxa"/>
            <w:vMerge/>
            <w:tcBorders>
              <w:top w:val="nil"/>
              <w:left w:val="nil"/>
              <w:bottom w:val="nil"/>
              <w:right w:val="nil"/>
            </w:tcBorders>
            <w:vAlign w:val="center"/>
          </w:tcPr>
          <w:p w14:paraId="43CA8A61" w14:textId="77777777" w:rsidR="00B4030C" w:rsidRPr="006545AD" w:rsidRDefault="00B4030C" w:rsidP="00750749">
            <w:pPr>
              <w:spacing w:before="60" w:after="60" w:line="360" w:lineRule="exact"/>
              <w:jc w:val="both"/>
              <w:rPr>
                <w:rFonts w:ascii="Times New Roman" w:eastAsia="Times New Roman" w:hAnsi="Times New Roman" w:cs="Times New Roman"/>
                <w:sz w:val="28"/>
                <w:szCs w:val="28"/>
              </w:rPr>
            </w:pPr>
          </w:p>
        </w:tc>
        <w:tc>
          <w:tcPr>
            <w:tcW w:w="696" w:type="dxa"/>
            <w:vMerge/>
            <w:tcBorders>
              <w:top w:val="nil"/>
              <w:left w:val="nil"/>
              <w:bottom w:val="nil"/>
              <w:right w:val="nil"/>
            </w:tcBorders>
            <w:vAlign w:val="center"/>
          </w:tcPr>
          <w:p w14:paraId="4C2B8647" w14:textId="77777777" w:rsidR="00B4030C" w:rsidRPr="006545AD" w:rsidRDefault="00B4030C" w:rsidP="00750749">
            <w:pPr>
              <w:spacing w:before="60" w:after="60" w:line="360" w:lineRule="exact"/>
              <w:jc w:val="both"/>
              <w:rPr>
                <w:rFonts w:ascii="Times New Roman" w:eastAsia="Times New Roman" w:hAnsi="Times New Roman" w:cs="Times New Roman"/>
                <w:sz w:val="28"/>
                <w:szCs w:val="28"/>
              </w:rPr>
            </w:pPr>
          </w:p>
        </w:tc>
        <w:tc>
          <w:tcPr>
            <w:tcW w:w="4395" w:type="dxa"/>
            <w:tcBorders>
              <w:top w:val="single" w:sz="4" w:space="0" w:color="auto"/>
              <w:left w:val="nil"/>
              <w:bottom w:val="nil"/>
              <w:right w:val="nil"/>
            </w:tcBorders>
            <w:vAlign w:val="center"/>
          </w:tcPr>
          <w:p w14:paraId="3CCB1FDE" w14:textId="1843E017" w:rsidR="00B4030C" w:rsidRPr="006545AD" w:rsidRDefault="00B4030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diện tích gieo trồng (ha)</w:t>
            </w:r>
          </w:p>
        </w:tc>
      </w:tr>
    </w:tbl>
    <w:p w14:paraId="273F783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2. Phân tổ chủ yếu: </w:t>
      </w:r>
      <w:r w:rsidRPr="006545AD">
        <w:rPr>
          <w:rFonts w:ascii="Times New Roman" w:eastAsia="Times New Roman" w:hAnsi="Times New Roman" w:cs="Times New Roman"/>
          <w:sz w:val="28"/>
          <w:szCs w:val="28"/>
        </w:rPr>
        <w:t>Tỉnh, thành phố trực thuộc Trung ương</w:t>
      </w:r>
      <w:r w:rsidR="008725E6" w:rsidRPr="006545AD">
        <w:rPr>
          <w:rFonts w:ascii="Times New Roman" w:eastAsia="Times New Roman" w:hAnsi="Times New Roman" w:cs="Times New Roman"/>
          <w:sz w:val="28"/>
          <w:szCs w:val="28"/>
        </w:rPr>
        <w:t>.</w:t>
      </w:r>
    </w:p>
    <w:p w14:paraId="48F475E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5 năm</w:t>
      </w:r>
      <w:r w:rsidR="008725E6" w:rsidRPr="006545AD">
        <w:rPr>
          <w:rFonts w:ascii="Times New Roman" w:eastAsia="Times New Roman" w:hAnsi="Times New Roman" w:cs="Times New Roman"/>
          <w:sz w:val="28"/>
          <w:szCs w:val="28"/>
        </w:rPr>
        <w:t>.</w:t>
      </w:r>
    </w:p>
    <w:p w14:paraId="655D070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3CE349AC" w14:textId="530B1155"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Chế độ báo cáo thống kê </w:t>
      </w:r>
      <w:r w:rsidR="00C932E3" w:rsidRPr="006545AD">
        <w:rPr>
          <w:rFonts w:ascii="Times New Roman" w:eastAsia="Times New Roman" w:hAnsi="Times New Roman" w:cs="Times New Roman"/>
          <w:sz w:val="28"/>
          <w:szCs w:val="28"/>
        </w:rPr>
        <w:t>n</w:t>
      </w:r>
      <w:r w:rsidRPr="006545AD">
        <w:rPr>
          <w:rFonts w:ascii="Times New Roman" w:eastAsia="Times New Roman" w:hAnsi="Times New Roman" w:cs="Times New Roman"/>
          <w:sz w:val="28"/>
          <w:szCs w:val="28"/>
        </w:rPr>
        <w:t xml:space="preserve">gành nông nghiệp và </w:t>
      </w:r>
      <w:r w:rsidR="00C932E3" w:rsidRPr="006545AD">
        <w:rPr>
          <w:rFonts w:ascii="Times New Roman" w:eastAsia="Times New Roman" w:hAnsi="Times New Roman" w:cs="Times New Roman"/>
          <w:sz w:val="28"/>
          <w:szCs w:val="28"/>
        </w:rPr>
        <w:t>p</w:t>
      </w:r>
      <w:r w:rsidRPr="006545AD">
        <w:rPr>
          <w:rFonts w:ascii="Times New Roman" w:eastAsia="Times New Roman" w:hAnsi="Times New Roman" w:cs="Times New Roman"/>
          <w:sz w:val="28"/>
          <w:szCs w:val="28"/>
        </w:rPr>
        <w:t>hát triển nông thôn</w:t>
      </w:r>
      <w:r w:rsidR="008725E6" w:rsidRPr="006545AD">
        <w:rPr>
          <w:rFonts w:ascii="Times New Roman" w:eastAsia="Times New Roman" w:hAnsi="Times New Roman" w:cs="Times New Roman"/>
          <w:sz w:val="28"/>
          <w:szCs w:val="28"/>
        </w:rPr>
        <w:t>;</w:t>
      </w:r>
    </w:p>
    <w:p w14:paraId="768E12D0" w14:textId="77777777" w:rsidR="00F408D5" w:rsidRPr="006545AD" w:rsidRDefault="008725E6"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4374B2C5" w14:textId="33A89BA2"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5. Cơ quan chịu trách nhiệm thu thập, tổng hợp: </w:t>
      </w:r>
      <w:r w:rsidRPr="006545AD">
        <w:rPr>
          <w:rFonts w:ascii="Times New Roman" w:eastAsia="Times New Roman" w:hAnsi="Times New Roman" w:cs="Times New Roman"/>
          <w:sz w:val="28"/>
          <w:szCs w:val="28"/>
        </w:rPr>
        <w:t xml:space="preserve">Bộ Nông nghiệp và </w:t>
      </w:r>
      <w:r w:rsidR="005C0C9A" w:rsidRPr="006545AD">
        <w:rPr>
          <w:rFonts w:ascii="Times New Roman" w:eastAsia="Times New Roman" w:hAnsi="Times New Roman" w:cs="Times New Roman"/>
          <w:sz w:val="28"/>
          <w:szCs w:val="28"/>
        </w:rPr>
        <w:t xml:space="preserve">Phát </w:t>
      </w:r>
      <w:r w:rsidRPr="006545AD">
        <w:rPr>
          <w:rFonts w:ascii="Times New Roman" w:eastAsia="Times New Roman" w:hAnsi="Times New Roman" w:cs="Times New Roman"/>
          <w:sz w:val="28"/>
          <w:szCs w:val="28"/>
        </w:rPr>
        <w:t>triển nông thôn</w:t>
      </w:r>
      <w:r w:rsidR="008725E6" w:rsidRPr="006545AD">
        <w:rPr>
          <w:rFonts w:ascii="Times New Roman" w:eastAsia="Times New Roman" w:hAnsi="Times New Roman" w:cs="Times New Roman"/>
          <w:sz w:val="28"/>
          <w:szCs w:val="28"/>
        </w:rPr>
        <w:t>.</w:t>
      </w:r>
    </w:p>
    <w:p w14:paraId="6EFAF71F" w14:textId="27AC5A9A"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2.13</w:t>
      </w:r>
      <w:r w:rsidR="00836A4E" w:rsidRPr="006545AD">
        <w:rPr>
          <w:rFonts w:ascii="Times New Roman" w:eastAsia="Times New Roman" w:hAnsi="Times New Roman" w:cs="Times New Roman"/>
          <w:b/>
          <w:sz w:val="28"/>
          <w:szCs w:val="28"/>
        </w:rPr>
        <w:t>. Lượng</w:t>
      </w:r>
      <w:r w:rsidR="006E7C70" w:rsidRPr="006545AD">
        <w:rPr>
          <w:rFonts w:ascii="Times New Roman" w:eastAsia="Times New Roman" w:hAnsi="Times New Roman" w:cs="Times New Roman"/>
          <w:b/>
          <w:sz w:val="28"/>
          <w:szCs w:val="28"/>
        </w:rPr>
        <w:t xml:space="preserve"> thuốc bảo vệ thực vật hóa học bình quân được sử dụng trên một hecta (1 ha) đất trồng trọt</w:t>
      </w:r>
    </w:p>
    <w:p w14:paraId="2CE74C03" w14:textId="77777777" w:rsidR="00923EF8"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ab/>
      </w:r>
      <w:r w:rsidR="006E7C70" w:rsidRPr="006545AD">
        <w:rPr>
          <w:rFonts w:ascii="Times New Roman" w:eastAsia="Times New Roman" w:hAnsi="Times New Roman" w:cs="Times New Roman"/>
          <w:b/>
          <w:sz w:val="28"/>
          <w:szCs w:val="28"/>
        </w:rPr>
        <w:t>1. Khái niệm, phương pháp tính</w:t>
      </w:r>
    </w:p>
    <w:p w14:paraId="405BCA5C" w14:textId="6AA4C451" w:rsidR="00923EF8" w:rsidRPr="006545AD" w:rsidRDefault="00923EF8" w:rsidP="005725BC">
      <w:pPr>
        <w:spacing w:before="120" w:after="60" w:line="360" w:lineRule="exact"/>
        <w:jc w:val="both"/>
        <w:rPr>
          <w:rFonts w:ascii="Times New Roman" w:eastAsia="Times New Roman" w:hAnsi="Times New Roman" w:cs="Times New Roman"/>
          <w:b/>
          <w:spacing w:val="-4"/>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pacing w:val="-4"/>
          <w:sz w:val="28"/>
          <w:szCs w:val="28"/>
        </w:rPr>
        <w:t>Lượng thuốc bảo vệ thực vật hóa học bình quân được sử dụng trên 1ha đất trồng trọt là l</w:t>
      </w:r>
      <w:r w:rsidR="00D90FFE" w:rsidRPr="006545AD">
        <w:rPr>
          <w:rFonts w:ascii="Times New Roman" w:eastAsia="Times New Roman" w:hAnsi="Times New Roman" w:cs="Times New Roman"/>
          <w:spacing w:val="-4"/>
          <w:sz w:val="28"/>
          <w:szCs w:val="28"/>
        </w:rPr>
        <w:t>ượng thuốc bảo vệ thực vật</w:t>
      </w:r>
      <w:r w:rsidR="006E7C70" w:rsidRPr="006545AD">
        <w:rPr>
          <w:rFonts w:ascii="Times New Roman" w:eastAsia="Times New Roman" w:hAnsi="Times New Roman" w:cs="Times New Roman"/>
          <w:spacing w:val="-4"/>
          <w:sz w:val="28"/>
          <w:szCs w:val="28"/>
        </w:rPr>
        <w:t xml:space="preserve"> hóa học bình quân đã được sử dụng trên 1ha đất trồng trọt trong một khoảng thời gian (thường là 01 vụ cây trồng hoặc 01 năm).</w:t>
      </w:r>
    </w:p>
    <w:p w14:paraId="1C6EF8E6" w14:textId="77777777" w:rsidR="00F408D5" w:rsidRPr="006545AD" w:rsidRDefault="00923EF8" w:rsidP="005725BC">
      <w:pPr>
        <w:spacing w:before="12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Thuốc bảo vệ thực vật hóa học là những loại hóa chất thường được sử dụng trong sản xuất nông nghiệp. Các hóa chất này phục vụ mục đích tiêu diệt các tác nhân không mong muốn như nấm, cỏ dại và côn trùng nhằm loại trừ khả năng phá hủy cây trồng hoặc giảm sản lượng mùa màng.</w:t>
      </w:r>
    </w:p>
    <w:p w14:paraId="52E026D4" w14:textId="77777777" w:rsidR="00C5486A" w:rsidRPr="006545AD" w:rsidRDefault="00C5486A" w:rsidP="005725BC">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Trong phạm vi của Thông tư này, đất trồng trọt là đất nông nghiệp có gieo trồng cây hằng năm hoặc cây lâu năm.</w:t>
      </w:r>
    </w:p>
    <w:p w14:paraId="4DD58C33" w14:textId="7C3E71DD" w:rsidR="00C5486A" w:rsidRPr="006545AD" w:rsidRDefault="00C5486A" w:rsidP="005725BC">
      <w:pPr>
        <w:spacing w:before="12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t>Diện tích gieo trồng là diện tích các lần gieo trồng các loại cây qua các vụ trong năm cộng lại.</w:t>
      </w:r>
    </w:p>
    <w:p w14:paraId="684F6259" w14:textId="77777777" w:rsidR="00923EF8"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00923EF8" w:rsidRPr="006545AD">
        <w:rPr>
          <w:rFonts w:ascii="Times New Roman" w:eastAsia="Times New Roman" w:hAnsi="Times New Roman" w:cs="Times New Roman"/>
          <w:sz w:val="28"/>
          <w:szCs w:val="28"/>
        </w:rPr>
        <w:tab/>
      </w:r>
      <w:r w:rsidRPr="006545AD">
        <w:rPr>
          <w:rFonts w:ascii="Times New Roman" w:eastAsia="Times New Roman" w:hAnsi="Times New Roman" w:cs="Times New Roman"/>
          <w:sz w:val="28"/>
          <w:szCs w:val="28"/>
        </w:rPr>
        <w:t>Công thức tính:</w:t>
      </w:r>
    </w:p>
    <w:tbl>
      <w:tblPr>
        <w:tblStyle w:val="TableGrid"/>
        <w:tblW w:w="5000" w:type="pct"/>
        <w:jc w:val="center"/>
        <w:tblLook w:val="04A0" w:firstRow="1" w:lastRow="0" w:firstColumn="1" w:lastColumn="0" w:noHBand="0" w:noVBand="1"/>
      </w:tblPr>
      <w:tblGrid>
        <w:gridCol w:w="3235"/>
        <w:gridCol w:w="425"/>
        <w:gridCol w:w="5412"/>
      </w:tblGrid>
      <w:tr w:rsidR="00B4030C" w:rsidRPr="006545AD" w14:paraId="24A1E89F" w14:textId="77777777" w:rsidTr="005725BC">
        <w:trPr>
          <w:trHeight w:val="567"/>
          <w:jc w:val="center"/>
        </w:trPr>
        <w:tc>
          <w:tcPr>
            <w:tcW w:w="1783" w:type="pct"/>
            <w:vMerge w:val="restart"/>
            <w:tcBorders>
              <w:top w:val="nil"/>
              <w:left w:val="nil"/>
              <w:bottom w:val="nil"/>
              <w:right w:val="nil"/>
            </w:tcBorders>
            <w:vAlign w:val="center"/>
          </w:tcPr>
          <w:p w14:paraId="487CE585" w14:textId="77777777" w:rsidR="00B4030C" w:rsidRPr="006545AD" w:rsidRDefault="00B4030C" w:rsidP="005A7F64">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Lượng thuốc bảo vệ thực vật hóa học bình quân được sử dụng trên 1 ha đất trồng trọt (kg/ha)</w:t>
            </w:r>
          </w:p>
        </w:tc>
        <w:tc>
          <w:tcPr>
            <w:tcW w:w="234" w:type="pct"/>
            <w:vMerge w:val="restart"/>
            <w:tcBorders>
              <w:top w:val="nil"/>
              <w:left w:val="nil"/>
              <w:bottom w:val="nil"/>
              <w:right w:val="nil"/>
            </w:tcBorders>
            <w:vAlign w:val="center"/>
          </w:tcPr>
          <w:p w14:paraId="7A7DFC73" w14:textId="77777777" w:rsidR="00B4030C" w:rsidRPr="006545AD" w:rsidRDefault="00B4030C" w:rsidP="00750749">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983" w:type="pct"/>
            <w:tcBorders>
              <w:top w:val="nil"/>
              <w:left w:val="nil"/>
              <w:bottom w:val="single" w:sz="4" w:space="0" w:color="auto"/>
              <w:right w:val="nil"/>
            </w:tcBorders>
            <w:vAlign w:val="center"/>
          </w:tcPr>
          <w:p w14:paraId="4E4ABF83" w14:textId="77777777" w:rsidR="00B4030C" w:rsidRPr="006545AD" w:rsidRDefault="00B4030C" w:rsidP="0075074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lượng thuốc bảo vệ thực vật hóa học được sử dụng trong trồng trọt (kg)</w:t>
            </w:r>
          </w:p>
        </w:tc>
      </w:tr>
      <w:tr w:rsidR="00B4030C" w:rsidRPr="006545AD" w14:paraId="032E7290" w14:textId="77777777" w:rsidTr="005725BC">
        <w:trPr>
          <w:trHeight w:val="554"/>
          <w:jc w:val="center"/>
        </w:trPr>
        <w:tc>
          <w:tcPr>
            <w:tcW w:w="1783" w:type="pct"/>
            <w:vMerge/>
            <w:tcBorders>
              <w:top w:val="nil"/>
              <w:left w:val="nil"/>
              <w:bottom w:val="nil"/>
              <w:right w:val="nil"/>
            </w:tcBorders>
            <w:vAlign w:val="center"/>
          </w:tcPr>
          <w:p w14:paraId="7265E20B" w14:textId="77777777" w:rsidR="00B4030C" w:rsidRPr="006545AD" w:rsidRDefault="00B4030C" w:rsidP="00750749">
            <w:pPr>
              <w:spacing w:before="60" w:after="60" w:line="360" w:lineRule="exact"/>
              <w:jc w:val="both"/>
              <w:rPr>
                <w:rFonts w:ascii="Times New Roman" w:eastAsia="Times New Roman" w:hAnsi="Times New Roman" w:cs="Times New Roman"/>
                <w:sz w:val="28"/>
                <w:szCs w:val="28"/>
              </w:rPr>
            </w:pPr>
          </w:p>
        </w:tc>
        <w:tc>
          <w:tcPr>
            <w:tcW w:w="234" w:type="pct"/>
            <w:vMerge/>
            <w:tcBorders>
              <w:top w:val="nil"/>
              <w:left w:val="nil"/>
              <w:bottom w:val="nil"/>
              <w:right w:val="nil"/>
            </w:tcBorders>
            <w:vAlign w:val="center"/>
          </w:tcPr>
          <w:p w14:paraId="499DA85F" w14:textId="77777777" w:rsidR="00B4030C" w:rsidRPr="006545AD" w:rsidRDefault="00B4030C" w:rsidP="00750749">
            <w:pPr>
              <w:spacing w:before="60" w:after="60" w:line="360" w:lineRule="exact"/>
              <w:jc w:val="both"/>
              <w:rPr>
                <w:rFonts w:ascii="Times New Roman" w:eastAsia="Times New Roman" w:hAnsi="Times New Roman" w:cs="Times New Roman"/>
                <w:sz w:val="28"/>
                <w:szCs w:val="28"/>
              </w:rPr>
            </w:pPr>
          </w:p>
        </w:tc>
        <w:tc>
          <w:tcPr>
            <w:tcW w:w="2983" w:type="pct"/>
            <w:tcBorders>
              <w:top w:val="single" w:sz="4" w:space="0" w:color="auto"/>
              <w:left w:val="nil"/>
              <w:bottom w:val="nil"/>
              <w:right w:val="nil"/>
            </w:tcBorders>
            <w:vAlign w:val="center"/>
          </w:tcPr>
          <w:p w14:paraId="40511F66" w14:textId="20E7FA65" w:rsidR="00B4030C" w:rsidRPr="006545AD" w:rsidRDefault="00B4030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diện tích </w:t>
            </w:r>
            <w:r w:rsidR="00082CE3" w:rsidRPr="006545AD">
              <w:rPr>
                <w:rFonts w:ascii="Times New Roman" w:eastAsia="Times New Roman" w:hAnsi="Times New Roman" w:cs="Times New Roman"/>
                <w:sz w:val="28"/>
                <w:szCs w:val="28"/>
              </w:rPr>
              <w:t>gieo trồng</w:t>
            </w:r>
            <w:r w:rsidRPr="006545AD">
              <w:rPr>
                <w:rFonts w:ascii="Times New Roman" w:eastAsia="Times New Roman" w:hAnsi="Times New Roman" w:cs="Times New Roman"/>
                <w:sz w:val="28"/>
                <w:szCs w:val="28"/>
              </w:rPr>
              <w:t xml:space="preserve"> (ha)</w:t>
            </w:r>
          </w:p>
        </w:tc>
      </w:tr>
    </w:tbl>
    <w:p w14:paraId="27ED9E02" w14:textId="7E7DC1A4" w:rsidR="00F408D5"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Lượng thuốc bảo vệ thực vật hóa học được sử dụng trong trồng trọt được tổng hợp, tính toán trên cơ sở thống kê thực tế lượng thuốc đã được sử dụng theo diện tích </w:t>
      </w:r>
      <w:r w:rsidR="00F84480" w:rsidRPr="006545AD">
        <w:rPr>
          <w:rFonts w:ascii="Times New Roman" w:eastAsia="Times New Roman" w:hAnsi="Times New Roman" w:cs="Times New Roman"/>
          <w:sz w:val="28"/>
          <w:szCs w:val="28"/>
        </w:rPr>
        <w:t>gieo trồng</w:t>
      </w:r>
      <w:r w:rsidR="006E7C70" w:rsidRPr="006545AD">
        <w:rPr>
          <w:rFonts w:ascii="Times New Roman" w:eastAsia="Times New Roman" w:hAnsi="Times New Roman" w:cs="Times New Roman"/>
          <w:sz w:val="28"/>
          <w:szCs w:val="28"/>
        </w:rPr>
        <w:t xml:space="preserve"> tại địa phương.</w:t>
      </w:r>
    </w:p>
    <w:p w14:paraId="61D3863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2. Phân tổ chủ yếu: </w:t>
      </w:r>
      <w:r w:rsidRPr="006545AD">
        <w:rPr>
          <w:rFonts w:ascii="Times New Roman" w:eastAsia="Times New Roman" w:hAnsi="Times New Roman" w:cs="Times New Roman"/>
          <w:sz w:val="28"/>
          <w:szCs w:val="28"/>
        </w:rPr>
        <w:t>Tỉnh, thành phố trực thuộc Trung ương</w:t>
      </w:r>
      <w:r w:rsidR="005A7F64" w:rsidRPr="006545AD">
        <w:rPr>
          <w:rFonts w:ascii="Times New Roman" w:eastAsia="Times New Roman" w:hAnsi="Times New Roman" w:cs="Times New Roman"/>
          <w:sz w:val="28"/>
          <w:szCs w:val="28"/>
        </w:rPr>
        <w:t>.</w:t>
      </w:r>
    </w:p>
    <w:p w14:paraId="0AD02A5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5 năm</w:t>
      </w:r>
      <w:r w:rsidR="005A7F64" w:rsidRPr="006545AD">
        <w:rPr>
          <w:rFonts w:ascii="Times New Roman" w:eastAsia="Times New Roman" w:hAnsi="Times New Roman" w:cs="Times New Roman"/>
          <w:sz w:val="28"/>
          <w:szCs w:val="28"/>
        </w:rPr>
        <w:t>.</w:t>
      </w:r>
    </w:p>
    <w:p w14:paraId="6EF5474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4. Nguồn số liệu: </w:t>
      </w:r>
    </w:p>
    <w:p w14:paraId="52BD9DA1" w14:textId="4E0C3A7B"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Chế độ báo cáo thống kê </w:t>
      </w:r>
      <w:r w:rsidR="00C932E3" w:rsidRPr="006545AD">
        <w:rPr>
          <w:rFonts w:ascii="Times New Roman" w:eastAsia="Times New Roman" w:hAnsi="Times New Roman" w:cs="Times New Roman"/>
          <w:sz w:val="28"/>
          <w:szCs w:val="28"/>
        </w:rPr>
        <w:t>n</w:t>
      </w:r>
      <w:r w:rsidRPr="006545AD">
        <w:rPr>
          <w:rFonts w:ascii="Times New Roman" w:eastAsia="Times New Roman" w:hAnsi="Times New Roman" w:cs="Times New Roman"/>
          <w:sz w:val="28"/>
          <w:szCs w:val="28"/>
        </w:rPr>
        <w:t xml:space="preserve">gành nông nghiệp </w:t>
      </w:r>
      <w:r w:rsidR="00D90FFE" w:rsidRPr="006545AD">
        <w:rPr>
          <w:rFonts w:ascii="Times New Roman" w:eastAsia="Times New Roman" w:hAnsi="Times New Roman" w:cs="Times New Roman"/>
          <w:sz w:val="28"/>
          <w:szCs w:val="28"/>
        </w:rPr>
        <w:t>và phát</w:t>
      </w:r>
      <w:r w:rsidRPr="006545AD">
        <w:rPr>
          <w:rFonts w:ascii="Times New Roman" w:eastAsia="Times New Roman" w:hAnsi="Times New Roman" w:cs="Times New Roman"/>
          <w:sz w:val="28"/>
          <w:szCs w:val="28"/>
        </w:rPr>
        <w:t xml:space="preserve"> triển nông thôn</w:t>
      </w:r>
      <w:r w:rsidR="005A7F64" w:rsidRPr="006545AD">
        <w:rPr>
          <w:rFonts w:ascii="Times New Roman" w:eastAsia="Times New Roman" w:hAnsi="Times New Roman" w:cs="Times New Roman"/>
          <w:sz w:val="28"/>
          <w:szCs w:val="28"/>
        </w:rPr>
        <w:t>;</w:t>
      </w:r>
    </w:p>
    <w:p w14:paraId="4F55141C" w14:textId="77777777" w:rsidR="00F408D5" w:rsidRPr="006545AD" w:rsidRDefault="005A7F64"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 Điều tra thống kê.</w:t>
      </w:r>
    </w:p>
    <w:p w14:paraId="0DF1623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5. Cơ quan chịu trách nhiệm thu thập, tổng hợp: </w:t>
      </w:r>
      <w:r w:rsidR="00D90FFE" w:rsidRPr="006545AD">
        <w:rPr>
          <w:rFonts w:ascii="Times New Roman" w:eastAsia="Times New Roman" w:hAnsi="Times New Roman" w:cs="Times New Roman"/>
          <w:sz w:val="28"/>
          <w:szCs w:val="28"/>
        </w:rPr>
        <w:t>Bộ Nông nghiệp và P</w:t>
      </w:r>
      <w:r w:rsidRPr="006545AD">
        <w:rPr>
          <w:rFonts w:ascii="Times New Roman" w:eastAsia="Times New Roman" w:hAnsi="Times New Roman" w:cs="Times New Roman"/>
          <w:sz w:val="28"/>
          <w:szCs w:val="28"/>
        </w:rPr>
        <w:t>hát triển nông thôn</w:t>
      </w:r>
      <w:r w:rsidR="005A7F64" w:rsidRPr="006545AD">
        <w:rPr>
          <w:rFonts w:ascii="Times New Roman" w:eastAsia="Times New Roman" w:hAnsi="Times New Roman" w:cs="Times New Roman"/>
          <w:sz w:val="28"/>
          <w:szCs w:val="28"/>
        </w:rPr>
        <w:t>.</w:t>
      </w:r>
    </w:p>
    <w:p w14:paraId="0051D557" w14:textId="1639F1ED"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E5A98" w:rsidRPr="006545AD">
        <w:rPr>
          <w:rFonts w:ascii="Times New Roman" w:eastAsia="Times New Roman" w:hAnsi="Times New Roman" w:cs="Times New Roman"/>
          <w:b/>
          <w:sz w:val="28"/>
          <w:szCs w:val="28"/>
        </w:rPr>
        <w:t>2.14</w:t>
      </w:r>
      <w:r w:rsidR="00836A4E"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diện tích đất sản xuất nông nghiệp được tưới tiết kiệm nước</w:t>
      </w:r>
    </w:p>
    <w:p w14:paraId="5E7219A9"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5A4F44EE" w14:textId="77777777" w:rsidR="00F408D5"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Tỷ lệ diện tích đất sản xuất nông nghiệp được tưới tiết kiệm nước là tỷ lệ phần trăm giữa diện tích đất sản xuất nông nghiệp được tưới áp dụng các kỹ thuật tiết kiệm nước so với tổng diện tích đất sản xuất nông nghiệp.</w:t>
      </w:r>
    </w:p>
    <w:p w14:paraId="2E145333" w14:textId="77777777" w:rsidR="00F408D5"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Kỹ thuật tưới tiết kiệm nước là việc áp dụng quy trình kỹ thuật và thiết bị tiên tiến để tưới theo phương pháp nhỏ giọt, phun mưa, tưới ngầm, bảo đảm cấp nước theo nhu cầu của cây trồng cạn hoặc tưới ướt/khô xen kẽ cho cây lúa phù </w:t>
      </w:r>
      <w:r w:rsidR="006E7C70" w:rsidRPr="006545AD">
        <w:rPr>
          <w:rFonts w:ascii="Times New Roman" w:eastAsia="Times New Roman" w:hAnsi="Times New Roman" w:cs="Times New Roman"/>
          <w:sz w:val="28"/>
          <w:szCs w:val="28"/>
        </w:rPr>
        <w:lastRenderedPageBreak/>
        <w:t>hợp từng giai đoạn sinh trưởng, kết hợp với các biện pháp canh tác tiên tiến trong nông nghiệp.</w:t>
      </w:r>
    </w:p>
    <w:p w14:paraId="5CC8A537"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Căn cứ vào đặc tính của thiết bị tưới và hình thức phân phối nước từ thiết bị tưới mà kỹ thuật tưới tiết kiệm nước có thể được phân chia ra 4 loại: Tưới nhỏ giọt, tưới phun mưa cục bộ, tưới ngầm cục bộ, nông lộ phơi.</w:t>
      </w:r>
    </w:p>
    <w:p w14:paraId="18771915"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Tưới nhỏ giọt là kỹ thuật tưới cung cấp nước vào đất dưới dạng các giọt nước nhỏ ra từ thiết bị tạo giọt đặt trên mặt đất gần gốc cây.</w:t>
      </w:r>
    </w:p>
    <w:p w14:paraId="2C09F5E6"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pacing w:val="4"/>
          <w:sz w:val="28"/>
          <w:szCs w:val="28"/>
        </w:rPr>
        <w:t>-Tưới phun mưa cục bộ là kỹ thuật tưới cung cấp nước cho cây trồng dưới dạng các hạt mưa hoặc hạt sương rơi trên một diện tích nhỏ xung quanh gốc cây trồng.</w:t>
      </w:r>
    </w:p>
    <w:p w14:paraId="152B4609"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Tưới ngầm cục bộ là kỹ thuật tưới đưa nước vào đất dưới dạng các giọt nước ra thường xuyên từ thiết bị tưới đặt dưới mặt đất ở vùng rễ cây hoạt động.</w:t>
      </w:r>
    </w:p>
    <w:p w14:paraId="382A73B4"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Nông lộ phơi hay còn gọi là tưới ướt khô xen kẽ thường được áp dụng trong canh tác lúa nước nhưng không phải lúc nào cũng cần đưa nước ngập ruộng mà căn cứ vào từng giai đoạn sinh trưởng của cây lúa để điều tiết nước phù hợp, trong đó có những giai đoạn rút nước cho bằng hoặc thấp hơn mặt ruộng.</w:t>
      </w:r>
    </w:p>
    <w:p w14:paraId="4FA58F37" w14:textId="77777777" w:rsidR="00F408D5"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Diện tích đất nông nghiệp được tưới nước bao gồm diện tích được tưới trực tiếp bằng các công trình thuỷ lợi hoặc dùng các phương tiện thủ công đưa nước từ các công trình thuỷ lợi (mương, máng) vào ruộng cung cấp cho cây trồng. Tính theo diện tích được tưới thực tế trong một vụ, nếu trong một vụ do nhu cầu phải tưới cho cây trồng nhiều lần thì cũng chỉ tính là 1 lần trong 1 vụ.</w:t>
      </w:r>
    </w:p>
    <w:p w14:paraId="1D740E1E" w14:textId="77777777" w:rsidR="00F408D5"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color w:val="FF0000"/>
          <w:sz w:val="28"/>
          <w:szCs w:val="28"/>
        </w:rPr>
        <w:tab/>
      </w:r>
      <w:r w:rsidR="006E7C70" w:rsidRPr="006545AD">
        <w:rPr>
          <w:rFonts w:ascii="Times New Roman" w:eastAsia="Times New Roman" w:hAnsi="Times New Roman" w:cs="Times New Roman"/>
          <w:sz w:val="28"/>
          <w:szCs w:val="28"/>
        </w:rPr>
        <w:t>Công thức tính:</w:t>
      </w:r>
      <w:r w:rsidRPr="006545AD">
        <w:rPr>
          <w:rFonts w:ascii="Times New Roman" w:eastAsia="Times New Roman" w:hAnsi="Times New Roman" w:cs="Times New Roman"/>
          <w:sz w:val="28"/>
          <w:szCs w:val="28"/>
        </w:rPr>
        <w:t xml:space="preserve"> </w:t>
      </w:r>
    </w:p>
    <w:p w14:paraId="084E6646" w14:textId="77777777" w:rsidR="00E70E68" w:rsidRPr="006545AD" w:rsidRDefault="00E70E68" w:rsidP="00C651A7">
      <w:pPr>
        <w:spacing w:before="120" w:after="12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 = </w:t>
      </w:r>
      <m:oMath>
        <m:f>
          <m:fPr>
            <m:ctrlPr>
              <w:rPr>
                <w:rFonts w:ascii="Cambria Math" w:eastAsia="Times New Roman" w:hAnsi="Cambria Math" w:cs="Times New Roman"/>
                <w:i/>
                <w:sz w:val="36"/>
                <w:szCs w:val="36"/>
              </w:rPr>
            </m:ctrlPr>
          </m:fPr>
          <m:num>
            <m:sSub>
              <m:sSubPr>
                <m:ctrlPr>
                  <w:rPr>
                    <w:rFonts w:ascii="Cambria Math" w:eastAsia="Times New Roman" w:hAnsi="Cambria Math" w:cs="Times New Roman"/>
                    <w:i/>
                    <w:sz w:val="36"/>
                    <w:szCs w:val="36"/>
                  </w:rPr>
                </m:ctrlPr>
              </m:sSubPr>
              <m:e>
                <m:r>
                  <w:rPr>
                    <w:rFonts w:ascii="Cambria Math" w:eastAsia="Times New Roman" w:hAnsi="Cambria Math" w:cs="Times New Roman"/>
                    <w:sz w:val="36"/>
                    <w:szCs w:val="36"/>
                  </w:rPr>
                  <m:t>S</m:t>
                </m:r>
              </m:e>
              <m:sub>
                <m:r>
                  <w:rPr>
                    <w:rFonts w:ascii="Cambria Math" w:eastAsia="Times New Roman" w:hAnsi="Cambria Math" w:cs="Times New Roman"/>
                    <w:sz w:val="36"/>
                    <w:szCs w:val="36"/>
                  </w:rPr>
                  <m:t>1</m:t>
                </m:r>
              </m:sub>
            </m:sSub>
          </m:num>
          <m:den>
            <m:r>
              <w:rPr>
                <w:rFonts w:ascii="Cambria Math" w:eastAsia="Times New Roman" w:hAnsi="Cambria Math" w:cs="Times New Roman"/>
                <w:sz w:val="36"/>
                <w:szCs w:val="36"/>
              </w:rPr>
              <m:t>S</m:t>
            </m:r>
          </m:den>
        </m:f>
      </m:oMath>
      <w:r w:rsidRPr="006545AD">
        <w:rPr>
          <w:rFonts w:ascii="Times New Roman" w:eastAsia="Times New Roman" w:hAnsi="Times New Roman" w:cs="Times New Roman"/>
          <w:sz w:val="28"/>
          <w:szCs w:val="28"/>
        </w:rPr>
        <w:t xml:space="preserve"> x 100</w:t>
      </w:r>
    </w:p>
    <w:p w14:paraId="42B648F2" w14:textId="77777777" w:rsidR="00F408D5"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Trong đó:</w:t>
      </w:r>
    </w:p>
    <w:p w14:paraId="66194A9F"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 Tỷ lệ diện tích đất sản xuất nông nghiệp được tưới tiết kiệm nước (%).</w:t>
      </w:r>
    </w:p>
    <w:p w14:paraId="7350A660"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1</m:t>
            </m:r>
          </m:sub>
        </m:sSub>
      </m:oMath>
      <w:r w:rsidRPr="006545AD">
        <w:rPr>
          <w:rFonts w:ascii="Times New Roman" w:eastAsia="Times New Roman" w:hAnsi="Times New Roman" w:cs="Times New Roman"/>
          <w:sz w:val="28"/>
          <w:szCs w:val="28"/>
        </w:rPr>
        <w:t>: Diện tích đất sản xuất thực tế được tưới tiết kiệm nước (ha).</w:t>
      </w:r>
    </w:p>
    <w:p w14:paraId="780BB14D"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S: Diện tích đất sản xuất nông nghiệp (ha).</w:t>
      </w:r>
    </w:p>
    <w:p w14:paraId="739DBDB2"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diện tích đất sản xuất nông nghiệp được tưới tiết kiệm nước được tính riêng cho một số cây trồng chủ lực: Lúa, cây hàng năm, cây ăn quả, cây công nghiệp lâu năm.</w:t>
      </w:r>
    </w:p>
    <w:p w14:paraId="05835712" w14:textId="77777777" w:rsidR="00F408D5" w:rsidRPr="006545AD" w:rsidRDefault="006E7C70" w:rsidP="005A7F6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Lưu ý: Diện tích đất sản xuất thực tế được tưới tiết kiệm nước tính theo diện tích được tưới tiết kiệm nước thực tế trong năm, nếu trong một năm do nhu cầu phải tưới cho cây trồng nhiều lần thì cũng chỉ tính là 1 lần.</w:t>
      </w:r>
    </w:p>
    <w:p w14:paraId="1AAFF554"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B635C4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Một số cây trồng chủ yếu;</w:t>
      </w:r>
    </w:p>
    <w:p w14:paraId="67CD1E05" w14:textId="77777777" w:rsidR="000B7BE2"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r w:rsidR="00984868" w:rsidRPr="006545AD">
        <w:rPr>
          <w:rFonts w:ascii="Times New Roman" w:eastAsia="Times New Roman" w:hAnsi="Times New Roman" w:cs="Times New Roman"/>
          <w:sz w:val="28"/>
          <w:szCs w:val="28"/>
        </w:rPr>
        <w:t>.</w:t>
      </w:r>
    </w:p>
    <w:p w14:paraId="6033811F" w14:textId="43058B0B"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lastRenderedPageBreak/>
        <w:t xml:space="preserve">3. Kỳ công bố: </w:t>
      </w:r>
      <w:r w:rsidR="0007713D" w:rsidRPr="006545AD">
        <w:rPr>
          <w:rFonts w:ascii="Times New Roman" w:eastAsia="Times New Roman" w:hAnsi="Times New Roman" w:cs="Times New Roman"/>
          <w:sz w:val="28"/>
          <w:szCs w:val="28"/>
        </w:rPr>
        <w:t>5</w:t>
      </w:r>
      <w:r w:rsidR="0007713D"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Năm</w:t>
      </w:r>
      <w:r w:rsidR="00984868" w:rsidRPr="006545AD">
        <w:rPr>
          <w:rFonts w:ascii="Times New Roman" w:eastAsia="Times New Roman" w:hAnsi="Times New Roman" w:cs="Times New Roman"/>
          <w:sz w:val="28"/>
          <w:szCs w:val="28"/>
        </w:rPr>
        <w:t>.</w:t>
      </w:r>
    </w:p>
    <w:p w14:paraId="32ED614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4EA417D9" w14:textId="0833AEA9" w:rsidR="00EE5A98"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019199BF" w14:textId="5DCE4E70"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ngành nông nghiệp và phát triển nông thôn</w:t>
      </w:r>
      <w:r w:rsidR="00984868" w:rsidRPr="006545AD">
        <w:rPr>
          <w:rFonts w:ascii="Times New Roman" w:eastAsia="Times New Roman" w:hAnsi="Times New Roman" w:cs="Times New Roman"/>
          <w:sz w:val="28"/>
          <w:szCs w:val="28"/>
        </w:rPr>
        <w:t>.</w:t>
      </w:r>
    </w:p>
    <w:p w14:paraId="49C3F61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5. Cơ quan chịu trách nhiệm thu thập, tổng hợp:</w:t>
      </w:r>
      <w:r w:rsidR="00984868" w:rsidRPr="006545AD">
        <w:rPr>
          <w:rFonts w:ascii="Times New Roman" w:eastAsia="Times New Roman" w:hAnsi="Times New Roman" w:cs="Times New Roman"/>
          <w:b/>
          <w:sz w:val="28"/>
          <w:szCs w:val="28"/>
        </w:rPr>
        <w:t xml:space="preserve"> </w:t>
      </w:r>
      <w:r w:rsidR="00D90FFE" w:rsidRPr="006545AD">
        <w:rPr>
          <w:rFonts w:ascii="Times New Roman" w:eastAsia="Times New Roman" w:hAnsi="Times New Roman" w:cs="Times New Roman"/>
          <w:sz w:val="28"/>
          <w:szCs w:val="28"/>
        </w:rPr>
        <w:t>Bộ Nông nghiệp và P</w:t>
      </w:r>
      <w:r w:rsidRPr="006545AD">
        <w:rPr>
          <w:rFonts w:ascii="Times New Roman" w:eastAsia="Times New Roman" w:hAnsi="Times New Roman" w:cs="Times New Roman"/>
          <w:sz w:val="28"/>
          <w:szCs w:val="28"/>
        </w:rPr>
        <w:t>hát triển nông thôn</w:t>
      </w:r>
      <w:r w:rsidR="00984868" w:rsidRPr="006545AD">
        <w:rPr>
          <w:rFonts w:ascii="Times New Roman" w:eastAsia="Times New Roman" w:hAnsi="Times New Roman" w:cs="Times New Roman"/>
          <w:sz w:val="28"/>
          <w:szCs w:val="28"/>
        </w:rPr>
        <w:t>.</w:t>
      </w:r>
    </w:p>
    <w:p w14:paraId="7DC50262" w14:textId="245344A5"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2</w:t>
      </w:r>
      <w:r w:rsidR="00AB1EA5" w:rsidRPr="006545AD">
        <w:rPr>
          <w:rFonts w:ascii="Times New Roman" w:eastAsia="Times New Roman" w:hAnsi="Times New Roman" w:cs="Times New Roman"/>
          <w:b/>
          <w:sz w:val="28"/>
          <w:szCs w:val="28"/>
        </w:rPr>
        <w:t>.15</w:t>
      </w:r>
      <w:r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b/>
          <w:sz w:val="28"/>
          <w:szCs w:val="28"/>
        </w:rPr>
        <w:t>Tỷ lệ diện tích đất sản xuất nông nghiệp đạt hiệu quả và bền vững</w:t>
      </w:r>
    </w:p>
    <w:p w14:paraId="09F96516"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FA7BDA8" w14:textId="397A9F53" w:rsidR="00F408D5"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Tỷ lệ diện tích đất sản xuất nông nghiệp đạt hiệu quả và bền vững là tỉ </w:t>
      </w:r>
      <w:r w:rsidR="001018C5" w:rsidRPr="006545AD">
        <w:rPr>
          <w:rFonts w:ascii="Times New Roman" w:eastAsia="Times New Roman" w:hAnsi="Times New Roman" w:cs="Times New Roman"/>
          <w:sz w:val="28"/>
          <w:szCs w:val="28"/>
        </w:rPr>
        <w:t>lệ</w:t>
      </w:r>
      <w:r w:rsidR="006E7C70" w:rsidRPr="006545AD">
        <w:rPr>
          <w:rFonts w:ascii="Times New Roman" w:eastAsia="Times New Roman" w:hAnsi="Times New Roman" w:cs="Times New Roman"/>
          <w:sz w:val="28"/>
          <w:szCs w:val="28"/>
        </w:rPr>
        <w:t xml:space="preserve"> phần trăm diện tích đất sản xuất nông nghiệp áp dụng phương thức sản xuất nông nghiệp cao và bền vững so với tổng diện tích đất nông nghiệp.</w:t>
      </w:r>
    </w:p>
    <w:p w14:paraId="06ADFEF2" w14:textId="7AD4611E" w:rsidR="000B7BE2" w:rsidRPr="006545AD" w:rsidRDefault="0092615D" w:rsidP="00923EF8">
      <w:pPr>
        <w:spacing w:before="60" w:after="60" w:line="360" w:lineRule="exact"/>
        <w:jc w:val="both"/>
        <w:rPr>
          <w:rFonts w:ascii="Times New Roman" w:eastAsia="Times New Roman" w:hAnsi="Times New Roman" w:cs="Times New Roman"/>
          <w:sz w:val="28"/>
          <w:szCs w:val="28"/>
          <w:lang w:val="vi-VN"/>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Phương thức sản xuất nông nghiệp cao và bền vững là tổng hợp các hoạt động được sử dụng trong sản xuất nông nghiệp để đạt được từ mức chấp nhận được đến mức cao của Bộ tiêu chí đánh giá (giá trị sản phẩm trên đất; lợi nhuận từ hoạt động sản xuất nông nghiệp trên đất; khả năng thích ứng với rủi ro trong sản xuất; tỷ lệ thoái hóa đất; sự ổn định nguồn nước tưới; quản lý phân bón; quản lý thuốc trừ sâu; đa dạng sinh học trong sản xuất; thu nhập của người lao động; an ninh lượng thưc; quyền sử dụng đất).</w:t>
      </w:r>
      <w:r w:rsidR="000B7BE2" w:rsidRPr="006545AD">
        <w:rPr>
          <w:rFonts w:ascii="Times New Roman" w:eastAsia="Times New Roman" w:hAnsi="Times New Roman" w:cs="Times New Roman"/>
          <w:sz w:val="28"/>
          <w:szCs w:val="28"/>
          <w:lang w:val="vi-VN"/>
        </w:rPr>
        <w:t xml:space="preserve"> </w:t>
      </w:r>
    </w:p>
    <w:p w14:paraId="6FB77FD9" w14:textId="6BEFD4AE" w:rsidR="00F408D5" w:rsidRPr="006545AD" w:rsidRDefault="00DE3597"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Tổng diện tích đất sản xuất nông nghiệp bao gồm diện tích đất sản xuất nông nghiệp thuộc sở hữu của hộ có hoạt động sản xuất nông nghiệp, diện tích đất sản xuất nông nghiệp đi thuê và đi mượn, không bao gồm diện tích đất sản xuất nông nghiệp cho thuê.</w:t>
      </w:r>
    </w:p>
    <w:p w14:paraId="6DB091A1" w14:textId="51DE030E" w:rsidR="0092615D" w:rsidRPr="006545AD" w:rsidRDefault="009261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Để tính tỷ lệ diện tích đất sản xuất nông nghiệp đạt hiệu quả và bền vững phải thông qua 11 chủ đề và chỉ tiêu phụ, cụ thể:</w:t>
      </w:r>
    </w:p>
    <w:p w14:paraId="3EF09356"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2E512163"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797A8FF4"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6DF17E4C"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648710C9"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2C9BCD81"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7027A993"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3CA152D4"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13F3748C"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7DCAD70D"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69A916C4"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16DB3F96"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742323EC"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03260B0D"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65829E01"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5EF4739E"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p w14:paraId="36A7B26E" w14:textId="77777777" w:rsidR="00C828A2" w:rsidRPr="006545AD" w:rsidRDefault="00C828A2" w:rsidP="00923EF8">
      <w:pPr>
        <w:spacing w:before="60" w:after="60" w:line="360" w:lineRule="exact"/>
        <w:jc w:val="both"/>
        <w:rPr>
          <w:rFonts w:ascii="Times New Roman" w:eastAsia="Times New Roman" w:hAnsi="Times New Roman" w:cs="Times New Roman"/>
          <w:sz w:val="28"/>
          <w:szCs w:val="28"/>
        </w:rPr>
      </w:pPr>
    </w:p>
    <w:tbl>
      <w:tblPr>
        <w:tblStyle w:val="19"/>
        <w:tblW w:w="9095" w:type="dxa"/>
        <w:jc w:val="center"/>
        <w:tblBorders>
          <w:top w:val="nil"/>
          <w:left w:val="nil"/>
          <w:bottom w:val="nil"/>
          <w:right w:val="nil"/>
          <w:insideH w:val="nil"/>
          <w:insideV w:val="nil"/>
        </w:tblBorders>
        <w:tblLayout w:type="fixed"/>
        <w:tblLook w:val="0600" w:firstRow="0" w:lastRow="0" w:firstColumn="0" w:lastColumn="0" w:noHBand="1" w:noVBand="1"/>
      </w:tblPr>
      <w:tblGrid>
        <w:gridCol w:w="841"/>
        <w:gridCol w:w="3260"/>
        <w:gridCol w:w="4994"/>
      </w:tblGrid>
      <w:tr w:rsidR="00F408D5" w:rsidRPr="006545AD" w14:paraId="18484C84" w14:textId="77777777" w:rsidTr="005725BC">
        <w:trPr>
          <w:trHeight w:val="326"/>
          <w:tblHeader/>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1073B6" w14:textId="409EC40B" w:rsidR="00F408D5" w:rsidRPr="006545AD" w:rsidRDefault="00482662" w:rsidP="00D320C2">
            <w:pPr>
              <w:spacing w:before="60" w:after="60" w:line="360" w:lineRule="exact"/>
              <w:jc w:val="center"/>
              <w:rPr>
                <w:rFonts w:ascii="Times New Roman" w:eastAsia="Times New Roman" w:hAnsi="Times New Roman" w:cs="Times New Roman"/>
                <w:b/>
                <w:sz w:val="28"/>
                <w:szCs w:val="28"/>
                <w:lang w:val="vi-VN"/>
              </w:rPr>
            </w:pPr>
            <w:r w:rsidRPr="006545AD">
              <w:rPr>
                <w:rFonts w:ascii="Times New Roman" w:eastAsia="Times New Roman" w:hAnsi="Times New Roman" w:cs="Times New Roman"/>
                <w:b/>
                <w:sz w:val="28"/>
                <w:szCs w:val="28"/>
              </w:rPr>
              <w:t>S</w:t>
            </w:r>
            <w:r w:rsidRPr="006545AD">
              <w:rPr>
                <w:rFonts w:ascii="Times New Roman" w:eastAsia="Times New Roman" w:hAnsi="Times New Roman" w:cs="Times New Roman"/>
                <w:b/>
                <w:sz w:val="28"/>
                <w:szCs w:val="28"/>
                <w:lang w:val="vi-VN"/>
              </w:rPr>
              <w:t>TT</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F33BF06" w14:textId="77777777" w:rsidR="00F408D5" w:rsidRPr="006545AD" w:rsidRDefault="006E7C70" w:rsidP="00923EF8">
            <w:pPr>
              <w:spacing w:before="60" w:after="60" w:line="360" w:lineRule="exact"/>
              <w:jc w:val="center"/>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Chủ đề</w:t>
            </w:r>
          </w:p>
        </w:tc>
        <w:tc>
          <w:tcPr>
            <w:tcW w:w="4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F33FB9B" w14:textId="77777777" w:rsidR="00F408D5" w:rsidRPr="006545AD" w:rsidRDefault="006E7C70" w:rsidP="00923EF8">
            <w:pPr>
              <w:spacing w:before="60" w:after="60" w:line="360" w:lineRule="exact"/>
              <w:jc w:val="center"/>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Chỉ tiêu phụ</w:t>
            </w:r>
          </w:p>
        </w:tc>
      </w:tr>
      <w:tr w:rsidR="00F408D5" w:rsidRPr="006545AD" w14:paraId="4AA093EC"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AC2A50"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E0080A"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Năng suất đất</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A164B1"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sản phẩm trên một hecta</w:t>
            </w:r>
          </w:p>
        </w:tc>
      </w:tr>
      <w:tr w:rsidR="00F408D5" w:rsidRPr="006545AD" w14:paraId="726D64C4"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7925D"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2</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96BF9E"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Lợi nhuận</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41F553"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Thu nhập thuần của hộ, trang trại</w:t>
            </w:r>
          </w:p>
        </w:tc>
      </w:tr>
      <w:tr w:rsidR="00F408D5" w:rsidRPr="006545AD" w14:paraId="0D2EDB3F"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F9788"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3</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251EA2"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Khả năng phục hồi</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153214"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Cơ chế giảm thiểu rủi ro</w:t>
            </w:r>
          </w:p>
        </w:tc>
      </w:tr>
      <w:tr w:rsidR="00F408D5" w:rsidRPr="006545AD" w14:paraId="00962470"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9DB948"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4</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D9DE3E"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Sức khỏe của đất</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2FB741"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thoái hóa đất</w:t>
            </w:r>
          </w:p>
        </w:tc>
      </w:tr>
      <w:tr w:rsidR="00F408D5" w:rsidRPr="006545AD" w14:paraId="1D49301D"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009EC7"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5</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D7F3B7"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Sử dụng nước</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AD7408"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Sự thay đổi trữ lượng nước</w:t>
            </w:r>
          </w:p>
        </w:tc>
      </w:tr>
      <w:tr w:rsidR="00F408D5" w:rsidRPr="006545AD" w14:paraId="5598D324"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78920"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6</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E45A21"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Nguy cơ ô nhiễm phân bón</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628518"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Quản lý phân bón</w:t>
            </w:r>
          </w:p>
        </w:tc>
      </w:tr>
      <w:tr w:rsidR="00F408D5" w:rsidRPr="006545AD" w14:paraId="7CC97C31"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E8FBB8"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7</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0DB469"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Tác hại của thuốc trừ sâu</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CEEF91"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Quản lý thuốc trừ sâu</w:t>
            </w:r>
          </w:p>
        </w:tc>
      </w:tr>
      <w:tr w:rsidR="00F408D5" w:rsidRPr="006545AD" w14:paraId="32E2D967" w14:textId="77777777" w:rsidTr="005725BC">
        <w:trPr>
          <w:trHeight w:val="788"/>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AE6101"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8</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CC5149"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Đa dạng sinh học</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5722E8"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Sử dụng các phương pháp thực hành hỗ trợ đa dạng sinh học</w:t>
            </w:r>
          </w:p>
        </w:tc>
      </w:tr>
      <w:tr w:rsidR="00F408D5" w:rsidRPr="006545AD" w14:paraId="5B3C6BDE"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BB03F5"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9</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93A90A"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Việc làm tốt</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C8D912"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Mức lương trong nông nghiệp</w:t>
            </w:r>
          </w:p>
        </w:tc>
      </w:tr>
      <w:tr w:rsidR="00F408D5" w:rsidRPr="006545AD" w14:paraId="7C639D8C" w14:textId="77777777" w:rsidTr="005725BC">
        <w:trPr>
          <w:trHeight w:val="460"/>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0305CE"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10</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0287BA"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An ninh lương thực</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1DC6E1"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Thang đo trải nghiệm mất an ninh lương thực (FIES)</w:t>
            </w:r>
          </w:p>
        </w:tc>
      </w:tr>
      <w:tr w:rsidR="00F408D5" w:rsidRPr="006545AD" w14:paraId="0A4159E9" w14:textId="77777777" w:rsidTr="005725BC">
        <w:trPr>
          <w:trHeight w:val="326"/>
          <w:tblHeader/>
          <w:jc w:val="center"/>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FEEB6"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11</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95707E"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Sử dụng đất</w:t>
            </w:r>
          </w:p>
        </w:tc>
        <w:tc>
          <w:tcPr>
            <w:tcW w:w="499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096A57" w14:textId="77777777" w:rsidR="00F408D5" w:rsidRPr="006545AD" w:rsidRDefault="006E7C70"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Đảm bảo quyền sử dụng đất</w:t>
            </w:r>
          </w:p>
        </w:tc>
      </w:tr>
    </w:tbl>
    <w:p w14:paraId="0822EC01" w14:textId="0B352862" w:rsidR="00F408D5" w:rsidRPr="006545AD" w:rsidRDefault="00FE1E0A" w:rsidP="005725BC">
      <w:pPr>
        <w:spacing w:before="120" w:after="12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Công thức tính:</w:t>
      </w:r>
    </w:p>
    <w:tbl>
      <w:tblPr>
        <w:tblStyle w:val="TableGrid"/>
        <w:tblW w:w="5000" w:type="pct"/>
        <w:jc w:val="center"/>
        <w:tblLook w:val="04A0" w:firstRow="1" w:lastRow="0" w:firstColumn="1" w:lastColumn="0" w:noHBand="0" w:noVBand="1"/>
      </w:tblPr>
      <w:tblGrid>
        <w:gridCol w:w="2410"/>
        <w:gridCol w:w="425"/>
        <w:gridCol w:w="5245"/>
        <w:gridCol w:w="992"/>
      </w:tblGrid>
      <w:tr w:rsidR="0092615D" w:rsidRPr="006545AD" w14:paraId="332DA79A" w14:textId="77777777" w:rsidTr="005725BC">
        <w:trPr>
          <w:trHeight w:val="783"/>
          <w:jc w:val="center"/>
        </w:trPr>
        <w:tc>
          <w:tcPr>
            <w:tcW w:w="1328" w:type="pct"/>
            <w:vMerge w:val="restart"/>
            <w:tcBorders>
              <w:top w:val="nil"/>
              <w:left w:val="nil"/>
              <w:bottom w:val="nil"/>
              <w:right w:val="nil"/>
            </w:tcBorders>
            <w:vAlign w:val="center"/>
          </w:tcPr>
          <w:p w14:paraId="19C3079A" w14:textId="25D3B57C" w:rsidR="0092615D" w:rsidRPr="006545AD" w:rsidRDefault="0092615D"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diện tích đất sản xuất nông nghiệp đạt hiệu quả và bền vững</w:t>
            </w:r>
            <w:r w:rsidR="00A27F89" w:rsidRPr="006545AD">
              <w:rPr>
                <w:rFonts w:ascii="Times New Roman" w:eastAsia="Times New Roman" w:hAnsi="Times New Roman" w:cs="Times New Roman"/>
                <w:sz w:val="28"/>
                <w:szCs w:val="28"/>
              </w:rPr>
              <w:t xml:space="preserve"> (%)</w:t>
            </w:r>
          </w:p>
        </w:tc>
        <w:tc>
          <w:tcPr>
            <w:tcW w:w="234" w:type="pct"/>
            <w:vMerge w:val="restart"/>
            <w:tcBorders>
              <w:top w:val="nil"/>
              <w:left w:val="nil"/>
              <w:bottom w:val="nil"/>
              <w:right w:val="nil"/>
            </w:tcBorders>
            <w:vAlign w:val="center"/>
          </w:tcPr>
          <w:p w14:paraId="6A076FF1" w14:textId="77777777" w:rsidR="0092615D" w:rsidRPr="006545AD" w:rsidRDefault="0092615D" w:rsidP="00750749">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891" w:type="pct"/>
            <w:tcBorders>
              <w:top w:val="nil"/>
              <w:left w:val="nil"/>
              <w:bottom w:val="single" w:sz="4" w:space="0" w:color="auto"/>
              <w:right w:val="nil"/>
            </w:tcBorders>
            <w:vAlign w:val="center"/>
          </w:tcPr>
          <w:p w14:paraId="3A5E57F4" w14:textId="77777777" w:rsidR="0092615D" w:rsidRPr="006545AD" w:rsidRDefault="0092615D" w:rsidP="0075074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đất sản xuất nông nghiệp áp dụng phương thức sản xuất nông nghiệp cao và bền vững</w:t>
            </w:r>
          </w:p>
        </w:tc>
        <w:tc>
          <w:tcPr>
            <w:tcW w:w="547" w:type="pct"/>
            <w:vMerge w:val="restart"/>
            <w:tcBorders>
              <w:top w:val="nil"/>
              <w:left w:val="nil"/>
              <w:bottom w:val="nil"/>
              <w:right w:val="nil"/>
            </w:tcBorders>
            <w:vAlign w:val="center"/>
          </w:tcPr>
          <w:p w14:paraId="5060F897" w14:textId="45E62792" w:rsidR="0092615D" w:rsidRPr="006545AD" w:rsidRDefault="00BE7109" w:rsidP="00750749">
            <w:pPr>
              <w:spacing w:before="60" w:after="60" w:line="360" w:lineRule="exact"/>
              <w:jc w:val="both"/>
              <w:rPr>
                <w:rFonts w:ascii="Times New Roman" w:eastAsia="Times New Roman" w:hAnsi="Times New Roman" w:cs="Times New Roman"/>
                <w:sz w:val="28"/>
                <w:szCs w:val="28"/>
              </w:rPr>
            </w:pPr>
            <w:r w:rsidRPr="006545AD">
              <w:rPr>
                <w:sz w:val="26"/>
                <w:szCs w:val="26"/>
              </w:rPr>
              <w:t>×</w:t>
            </w:r>
            <w:r w:rsidR="0092615D" w:rsidRPr="006545AD">
              <w:rPr>
                <w:rFonts w:ascii="Times New Roman" w:eastAsia="Times New Roman" w:hAnsi="Times New Roman" w:cs="Times New Roman"/>
                <w:sz w:val="28"/>
                <w:szCs w:val="28"/>
              </w:rPr>
              <w:t xml:space="preserve"> 100</w:t>
            </w:r>
          </w:p>
        </w:tc>
      </w:tr>
      <w:tr w:rsidR="0092615D" w:rsidRPr="006545AD" w14:paraId="04B666B2" w14:textId="77777777" w:rsidTr="005725BC">
        <w:trPr>
          <w:trHeight w:val="1072"/>
          <w:jc w:val="center"/>
        </w:trPr>
        <w:tc>
          <w:tcPr>
            <w:tcW w:w="1328" w:type="pct"/>
            <w:vMerge/>
            <w:tcBorders>
              <w:top w:val="nil"/>
              <w:left w:val="nil"/>
              <w:bottom w:val="nil"/>
              <w:right w:val="nil"/>
            </w:tcBorders>
            <w:vAlign w:val="center"/>
          </w:tcPr>
          <w:p w14:paraId="79838440" w14:textId="77777777" w:rsidR="0092615D" w:rsidRPr="006545AD" w:rsidRDefault="0092615D" w:rsidP="00750749">
            <w:pPr>
              <w:spacing w:before="60" w:after="60" w:line="360" w:lineRule="exact"/>
              <w:jc w:val="both"/>
              <w:rPr>
                <w:rFonts w:ascii="Times New Roman" w:eastAsia="Times New Roman" w:hAnsi="Times New Roman" w:cs="Times New Roman"/>
                <w:sz w:val="28"/>
                <w:szCs w:val="28"/>
              </w:rPr>
            </w:pPr>
          </w:p>
        </w:tc>
        <w:tc>
          <w:tcPr>
            <w:tcW w:w="234" w:type="pct"/>
            <w:vMerge/>
            <w:tcBorders>
              <w:top w:val="nil"/>
              <w:left w:val="nil"/>
              <w:bottom w:val="nil"/>
              <w:right w:val="nil"/>
            </w:tcBorders>
            <w:vAlign w:val="center"/>
          </w:tcPr>
          <w:p w14:paraId="45758C20" w14:textId="77777777" w:rsidR="0092615D" w:rsidRPr="006545AD" w:rsidRDefault="0092615D" w:rsidP="00750749">
            <w:pPr>
              <w:spacing w:before="60" w:after="60" w:line="360" w:lineRule="exact"/>
              <w:jc w:val="both"/>
              <w:rPr>
                <w:rFonts w:ascii="Times New Roman" w:eastAsia="Times New Roman" w:hAnsi="Times New Roman" w:cs="Times New Roman"/>
                <w:sz w:val="28"/>
                <w:szCs w:val="28"/>
              </w:rPr>
            </w:pPr>
          </w:p>
        </w:tc>
        <w:tc>
          <w:tcPr>
            <w:tcW w:w="2891" w:type="pct"/>
            <w:tcBorders>
              <w:top w:val="single" w:sz="4" w:space="0" w:color="auto"/>
              <w:left w:val="nil"/>
              <w:bottom w:val="nil"/>
              <w:right w:val="nil"/>
            </w:tcBorders>
            <w:vAlign w:val="center"/>
          </w:tcPr>
          <w:p w14:paraId="498D91A6" w14:textId="77777777" w:rsidR="0092615D" w:rsidRPr="006545AD" w:rsidRDefault="0092615D" w:rsidP="0075074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diện tích đất sản xuất nông nghiệp</w:t>
            </w:r>
          </w:p>
        </w:tc>
        <w:tc>
          <w:tcPr>
            <w:tcW w:w="547" w:type="pct"/>
            <w:vMerge/>
            <w:tcBorders>
              <w:top w:val="nil"/>
              <w:left w:val="nil"/>
              <w:bottom w:val="nil"/>
              <w:right w:val="nil"/>
            </w:tcBorders>
            <w:vAlign w:val="center"/>
          </w:tcPr>
          <w:p w14:paraId="571967F8" w14:textId="77777777" w:rsidR="0092615D" w:rsidRPr="006545AD" w:rsidRDefault="0092615D" w:rsidP="00750749">
            <w:pPr>
              <w:spacing w:before="60" w:after="60" w:line="360" w:lineRule="exact"/>
              <w:jc w:val="both"/>
              <w:rPr>
                <w:rFonts w:ascii="Times New Roman" w:eastAsia="Times New Roman" w:hAnsi="Times New Roman" w:cs="Times New Roman"/>
                <w:sz w:val="28"/>
                <w:szCs w:val="28"/>
              </w:rPr>
            </w:pPr>
          </w:p>
        </w:tc>
      </w:tr>
    </w:tbl>
    <w:p w14:paraId="648E66B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4607998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 Vùng;</w:t>
      </w:r>
    </w:p>
    <w:p w14:paraId="2C9AA7F7" w14:textId="77777777" w:rsidR="00F408D5" w:rsidRPr="006545AD" w:rsidRDefault="006E7C70"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442A7E3B" w14:textId="77777777" w:rsidR="00F408D5" w:rsidRPr="006545AD" w:rsidRDefault="006E7C70"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5 Năm</w:t>
      </w:r>
      <w:r w:rsidR="00984868" w:rsidRPr="006545AD">
        <w:rPr>
          <w:rFonts w:ascii="Times New Roman" w:eastAsia="Times New Roman" w:hAnsi="Times New Roman" w:cs="Times New Roman"/>
          <w:sz w:val="28"/>
          <w:szCs w:val="28"/>
        </w:rPr>
        <w:t>.</w:t>
      </w:r>
    </w:p>
    <w:p w14:paraId="2D396C8F" w14:textId="77777777" w:rsidR="00F408D5" w:rsidRPr="006545AD" w:rsidRDefault="006E7C70" w:rsidP="005725BC">
      <w:pPr>
        <w:spacing w:before="60" w:after="60" w:line="38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0F067C99" w14:textId="3717BC87" w:rsidR="00F408D5" w:rsidRPr="006545AD" w:rsidRDefault="006E7C70"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Điều tra thống kê (Tổng điều tra nông </w:t>
      </w:r>
      <w:r w:rsidR="00EF7789" w:rsidRPr="006545AD">
        <w:rPr>
          <w:rFonts w:ascii="Times New Roman" w:eastAsia="Times New Roman" w:hAnsi="Times New Roman" w:cs="Times New Roman"/>
          <w:sz w:val="28"/>
          <w:szCs w:val="28"/>
        </w:rPr>
        <w:t>thôn, nông nghiệp</w:t>
      </w:r>
      <w:r w:rsidRPr="006545AD">
        <w:rPr>
          <w:rFonts w:ascii="Times New Roman" w:eastAsia="Times New Roman" w:hAnsi="Times New Roman" w:cs="Times New Roman"/>
          <w:sz w:val="28"/>
          <w:szCs w:val="28"/>
        </w:rPr>
        <w:t xml:space="preserve">; Điều tra nông </w:t>
      </w:r>
      <w:r w:rsidR="00EF7789" w:rsidRPr="006545AD">
        <w:rPr>
          <w:rFonts w:ascii="Times New Roman" w:eastAsia="Times New Roman" w:hAnsi="Times New Roman" w:cs="Times New Roman"/>
          <w:sz w:val="28"/>
          <w:szCs w:val="28"/>
        </w:rPr>
        <w:t>thôn</w:t>
      </w:r>
      <w:r w:rsidRPr="006545AD">
        <w:rPr>
          <w:rFonts w:ascii="Times New Roman" w:eastAsia="Times New Roman" w:hAnsi="Times New Roman" w:cs="Times New Roman"/>
          <w:sz w:val="28"/>
          <w:szCs w:val="28"/>
        </w:rPr>
        <w:t xml:space="preserve">, nông </w:t>
      </w:r>
      <w:r w:rsidR="00EF7789" w:rsidRPr="006545AD">
        <w:rPr>
          <w:rFonts w:ascii="Times New Roman" w:eastAsia="Times New Roman" w:hAnsi="Times New Roman" w:cs="Times New Roman"/>
          <w:sz w:val="28"/>
          <w:szCs w:val="28"/>
        </w:rPr>
        <w:t>nghiệp</w:t>
      </w:r>
      <w:r w:rsidRPr="006545AD">
        <w:rPr>
          <w:rFonts w:ascii="Times New Roman" w:eastAsia="Times New Roman" w:hAnsi="Times New Roman" w:cs="Times New Roman"/>
          <w:sz w:val="28"/>
          <w:szCs w:val="28"/>
        </w:rPr>
        <w:t xml:space="preserve"> giữa kỳ);</w:t>
      </w:r>
    </w:p>
    <w:p w14:paraId="06E6BA79" w14:textId="77777777" w:rsidR="00F408D5" w:rsidRPr="006545AD" w:rsidRDefault="006E7C70"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quốc gia.</w:t>
      </w:r>
    </w:p>
    <w:p w14:paraId="5C8C72F8" w14:textId="77777777" w:rsidR="00F408D5" w:rsidRPr="006545AD" w:rsidRDefault="006E7C70" w:rsidP="005725BC">
      <w:pPr>
        <w:spacing w:before="60" w:after="60" w:line="38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5. Cơ quan chịu trách nhiệm thu thập, tổng hợp:</w:t>
      </w:r>
      <w:r w:rsidRPr="006545AD">
        <w:rPr>
          <w:rFonts w:ascii="Times New Roman" w:eastAsia="Times New Roman" w:hAnsi="Times New Roman" w:cs="Times New Roman"/>
          <w:spacing w:val="-4"/>
          <w:sz w:val="28"/>
          <w:szCs w:val="28"/>
        </w:rPr>
        <w:t xml:space="preserve"> </w:t>
      </w:r>
      <w:r w:rsidR="00C651A7" w:rsidRPr="006545AD">
        <w:rPr>
          <w:rFonts w:ascii="Times New Roman" w:eastAsia="Times New Roman" w:hAnsi="Times New Roman" w:cs="Times New Roman"/>
          <w:spacing w:val="-4"/>
          <w:sz w:val="28"/>
          <w:szCs w:val="28"/>
        </w:rPr>
        <w:t>Bộ Kế hoạch và Đầu tư (Tổng cục Thống kê).</w:t>
      </w:r>
    </w:p>
    <w:p w14:paraId="44A86408" w14:textId="4A159C72" w:rsidR="00AB1EA5" w:rsidRPr="006545AD" w:rsidRDefault="00AB1EA5" w:rsidP="005725BC">
      <w:pPr>
        <w:spacing w:before="60" w:after="60" w:line="38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2.16. Tỷ lệ chiều dài kênh mương được kiên cố</w:t>
      </w:r>
    </w:p>
    <w:p w14:paraId="0B1268EA" w14:textId="77777777" w:rsidR="00AB1EA5" w:rsidRPr="006545AD" w:rsidRDefault="00AB1EA5" w:rsidP="005725BC">
      <w:pPr>
        <w:spacing w:before="60" w:after="60" w:line="38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 Khái niệm, phương pháp tính</w:t>
      </w:r>
    </w:p>
    <w:p w14:paraId="5C4FA2F6" w14:textId="77777777" w:rsidR="00AB1EA5" w:rsidRPr="006545AD" w:rsidRDefault="00AB1EA5"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chiều dài kênh mương được kiên cố là tỷ lệ phần trăm giữa chiều dài kênh mương được kiên cố so với tổng chiều dài kênh mương.</w:t>
      </w:r>
    </w:p>
    <w:p w14:paraId="762B9BEB" w14:textId="77777777" w:rsidR="00AB1EA5" w:rsidRPr="006545AD" w:rsidRDefault="00AB1EA5"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Kênh, mương được đào đắp trên mặt đất để phục vụ sản xuất nông nghiệp, nuôi trồng thủy sản, sản xuất muối; kết hợp cấp, tiêu, thoát nước cho các ngành kinh tế khác.</w:t>
      </w:r>
    </w:p>
    <w:p w14:paraId="02097D70" w14:textId="4E8951C7" w:rsidR="00AB1EA5" w:rsidRPr="006545AD" w:rsidRDefault="00AB1EA5"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Kênh mương được kiên cố là loại kênh mương được xây lát bằng gạch, bê tông hoặc các loại vật liệu chống thấm khác (Phân loại kênh, mương quy định tại </w:t>
      </w:r>
      <w:r w:rsidR="00B31CFC" w:rsidRPr="006545AD">
        <w:rPr>
          <w:rFonts w:ascii="Times New Roman" w:eastAsia="Times New Roman" w:hAnsi="Times New Roman" w:cs="Times New Roman"/>
          <w:sz w:val="28"/>
          <w:szCs w:val="28"/>
        </w:rPr>
        <w:t xml:space="preserve">Khoản </w:t>
      </w:r>
      <w:r w:rsidRPr="006545AD">
        <w:rPr>
          <w:rFonts w:ascii="Times New Roman" w:eastAsia="Times New Roman" w:hAnsi="Times New Roman" w:cs="Times New Roman"/>
          <w:sz w:val="28"/>
          <w:szCs w:val="28"/>
        </w:rPr>
        <w:t>7 Điều 4 Nghị định số 67/2018/NĐ-CP</w:t>
      </w:r>
      <w:r w:rsidR="00B31CFC" w:rsidRPr="006545AD">
        <w:rPr>
          <w:rFonts w:ascii="Times New Roman" w:eastAsia="Times New Roman" w:hAnsi="Times New Roman" w:cs="Times New Roman"/>
          <w:sz w:val="28"/>
          <w:szCs w:val="28"/>
          <w:lang w:val="vi-VN"/>
        </w:rPr>
        <w:t xml:space="preserve"> của Chính phủ</w:t>
      </w:r>
      <w:r w:rsidRPr="006545AD">
        <w:rPr>
          <w:rFonts w:ascii="Times New Roman" w:eastAsia="Times New Roman" w:hAnsi="Times New Roman" w:cs="Times New Roman"/>
          <w:sz w:val="28"/>
          <w:szCs w:val="28"/>
        </w:rPr>
        <w:t>)</w:t>
      </w:r>
    </w:p>
    <w:p w14:paraId="411DD6ED" w14:textId="77777777" w:rsidR="00AB1EA5" w:rsidRPr="006545AD" w:rsidRDefault="00AB1EA5" w:rsidP="005725BC">
      <w:pPr>
        <w:spacing w:before="60" w:after="60" w:line="38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Thống kê cộng dồn chiều dài kênh, mương hiện có trên địa bàn theo loại kênh mương cụ thể (theo quy định hiện hành) tại thời điểm báo cáo.</w:t>
      </w:r>
    </w:p>
    <w:p w14:paraId="30CB2681" w14:textId="77777777" w:rsidR="00AB1EA5" w:rsidRPr="006545AD" w:rsidRDefault="00AB1EA5" w:rsidP="00AB1EA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TableGrid"/>
        <w:tblW w:w="4943" w:type="pct"/>
        <w:jc w:val="center"/>
        <w:tblLook w:val="04A0" w:firstRow="1" w:lastRow="0" w:firstColumn="1" w:lastColumn="0" w:noHBand="0" w:noVBand="1"/>
      </w:tblPr>
      <w:tblGrid>
        <w:gridCol w:w="2694"/>
        <w:gridCol w:w="567"/>
        <w:gridCol w:w="4818"/>
        <w:gridCol w:w="890"/>
      </w:tblGrid>
      <w:tr w:rsidR="00AB1EA5" w:rsidRPr="006545AD" w14:paraId="60849C2C" w14:textId="77777777" w:rsidTr="005725BC">
        <w:trPr>
          <w:trHeight w:val="617"/>
          <w:jc w:val="center"/>
        </w:trPr>
        <w:tc>
          <w:tcPr>
            <w:tcW w:w="1502" w:type="pct"/>
            <w:vMerge w:val="restart"/>
            <w:tcBorders>
              <w:top w:val="nil"/>
              <w:left w:val="nil"/>
              <w:bottom w:val="nil"/>
              <w:right w:val="nil"/>
            </w:tcBorders>
            <w:vAlign w:val="center"/>
          </w:tcPr>
          <w:p w14:paraId="7C90FCA0" w14:textId="77777777" w:rsidR="00AB1EA5" w:rsidRPr="006545AD" w:rsidRDefault="00AB1EA5" w:rsidP="00AB1EA5">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chiều dài kênh mương được kiên cố (%)</w:t>
            </w:r>
          </w:p>
        </w:tc>
        <w:tc>
          <w:tcPr>
            <w:tcW w:w="316" w:type="pct"/>
            <w:vMerge w:val="restart"/>
            <w:tcBorders>
              <w:top w:val="nil"/>
              <w:left w:val="nil"/>
              <w:bottom w:val="nil"/>
              <w:right w:val="nil"/>
            </w:tcBorders>
            <w:vAlign w:val="center"/>
          </w:tcPr>
          <w:p w14:paraId="61387731" w14:textId="77777777" w:rsidR="00AB1EA5" w:rsidRPr="006545AD" w:rsidRDefault="00AB1EA5" w:rsidP="00640BA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686" w:type="pct"/>
            <w:tcBorders>
              <w:top w:val="nil"/>
              <w:left w:val="nil"/>
              <w:bottom w:val="single" w:sz="4" w:space="0" w:color="auto"/>
              <w:right w:val="nil"/>
            </w:tcBorders>
            <w:vAlign w:val="center"/>
          </w:tcPr>
          <w:p w14:paraId="4E417063" w14:textId="77777777" w:rsidR="00AB1EA5" w:rsidRPr="006545AD" w:rsidRDefault="00AB1EA5" w:rsidP="00640B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Chiều dài kênh mương được kiên cố</w:t>
            </w:r>
          </w:p>
        </w:tc>
        <w:tc>
          <w:tcPr>
            <w:tcW w:w="496" w:type="pct"/>
            <w:vMerge w:val="restart"/>
            <w:tcBorders>
              <w:top w:val="nil"/>
              <w:left w:val="nil"/>
              <w:bottom w:val="nil"/>
              <w:right w:val="nil"/>
            </w:tcBorders>
            <w:vAlign w:val="center"/>
          </w:tcPr>
          <w:p w14:paraId="3F815AC9" w14:textId="24A85A11" w:rsidR="00AB1EA5" w:rsidRPr="006545AD" w:rsidRDefault="00A339A7" w:rsidP="00640BA2">
            <w:pPr>
              <w:spacing w:before="60" w:after="60" w:line="360" w:lineRule="exact"/>
              <w:jc w:val="both"/>
              <w:rPr>
                <w:rFonts w:ascii="Times New Roman" w:eastAsia="Times New Roman" w:hAnsi="Times New Roman" w:cs="Times New Roman"/>
                <w:sz w:val="28"/>
                <w:szCs w:val="28"/>
              </w:rPr>
            </w:pPr>
            <w:r w:rsidRPr="006545AD">
              <w:rPr>
                <w:sz w:val="26"/>
                <w:szCs w:val="26"/>
              </w:rPr>
              <w:t>×</w:t>
            </w:r>
            <w:r w:rsidR="00AB1EA5" w:rsidRPr="006545AD">
              <w:rPr>
                <w:rFonts w:ascii="Times New Roman" w:eastAsia="Times New Roman" w:hAnsi="Times New Roman" w:cs="Times New Roman"/>
                <w:sz w:val="28"/>
                <w:szCs w:val="28"/>
              </w:rPr>
              <w:t xml:space="preserve"> 100</w:t>
            </w:r>
          </w:p>
        </w:tc>
      </w:tr>
      <w:tr w:rsidR="00AB1EA5" w:rsidRPr="006545AD" w14:paraId="34E47917" w14:textId="77777777" w:rsidTr="005725BC">
        <w:trPr>
          <w:trHeight w:val="188"/>
          <w:jc w:val="center"/>
        </w:trPr>
        <w:tc>
          <w:tcPr>
            <w:tcW w:w="1502" w:type="pct"/>
            <w:vMerge/>
            <w:tcBorders>
              <w:top w:val="nil"/>
              <w:left w:val="nil"/>
              <w:bottom w:val="nil"/>
              <w:right w:val="nil"/>
            </w:tcBorders>
            <w:vAlign w:val="center"/>
          </w:tcPr>
          <w:p w14:paraId="5A6824F1" w14:textId="77777777" w:rsidR="00AB1EA5" w:rsidRPr="006545AD" w:rsidRDefault="00AB1EA5" w:rsidP="00640BA2">
            <w:pPr>
              <w:spacing w:before="60" w:after="60" w:line="360" w:lineRule="exact"/>
              <w:jc w:val="both"/>
              <w:rPr>
                <w:rFonts w:ascii="Times New Roman" w:eastAsia="Times New Roman" w:hAnsi="Times New Roman" w:cs="Times New Roman"/>
                <w:sz w:val="28"/>
                <w:szCs w:val="28"/>
              </w:rPr>
            </w:pPr>
          </w:p>
        </w:tc>
        <w:tc>
          <w:tcPr>
            <w:tcW w:w="316" w:type="pct"/>
            <w:vMerge/>
            <w:tcBorders>
              <w:top w:val="nil"/>
              <w:left w:val="nil"/>
              <w:bottom w:val="nil"/>
              <w:right w:val="nil"/>
            </w:tcBorders>
            <w:vAlign w:val="center"/>
          </w:tcPr>
          <w:p w14:paraId="685E0D09" w14:textId="77777777" w:rsidR="00AB1EA5" w:rsidRPr="006545AD" w:rsidRDefault="00AB1EA5" w:rsidP="00640BA2">
            <w:pPr>
              <w:spacing w:before="60" w:after="60" w:line="360" w:lineRule="exact"/>
              <w:jc w:val="both"/>
              <w:rPr>
                <w:rFonts w:ascii="Times New Roman" w:eastAsia="Times New Roman" w:hAnsi="Times New Roman" w:cs="Times New Roman"/>
                <w:sz w:val="28"/>
                <w:szCs w:val="28"/>
              </w:rPr>
            </w:pPr>
          </w:p>
        </w:tc>
        <w:tc>
          <w:tcPr>
            <w:tcW w:w="2686" w:type="pct"/>
            <w:tcBorders>
              <w:top w:val="single" w:sz="4" w:space="0" w:color="auto"/>
              <w:left w:val="nil"/>
              <w:bottom w:val="nil"/>
              <w:right w:val="nil"/>
            </w:tcBorders>
            <w:vAlign w:val="center"/>
          </w:tcPr>
          <w:p w14:paraId="7B270A27" w14:textId="77777777" w:rsidR="00AB1EA5" w:rsidRPr="006545AD" w:rsidRDefault="00AB1EA5" w:rsidP="00640B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chiều dài kênh mương</w:t>
            </w:r>
          </w:p>
        </w:tc>
        <w:tc>
          <w:tcPr>
            <w:tcW w:w="496" w:type="pct"/>
            <w:vMerge/>
            <w:tcBorders>
              <w:top w:val="nil"/>
              <w:left w:val="nil"/>
              <w:bottom w:val="nil"/>
              <w:right w:val="nil"/>
            </w:tcBorders>
            <w:vAlign w:val="center"/>
          </w:tcPr>
          <w:p w14:paraId="23BD6BFC" w14:textId="77777777" w:rsidR="00AB1EA5" w:rsidRPr="006545AD" w:rsidRDefault="00AB1EA5" w:rsidP="00640BA2">
            <w:pPr>
              <w:spacing w:before="60" w:after="60" w:line="360" w:lineRule="exact"/>
              <w:jc w:val="both"/>
              <w:rPr>
                <w:rFonts w:ascii="Times New Roman" w:eastAsia="Times New Roman" w:hAnsi="Times New Roman" w:cs="Times New Roman"/>
                <w:sz w:val="28"/>
                <w:szCs w:val="28"/>
              </w:rPr>
            </w:pPr>
          </w:p>
        </w:tc>
      </w:tr>
    </w:tbl>
    <w:p w14:paraId="3C063954" w14:textId="77777777" w:rsidR="00AB1EA5" w:rsidRPr="006545AD" w:rsidRDefault="00AB1EA5" w:rsidP="00AB1EA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55D21A6A" w14:textId="77777777" w:rsidR="00AB1EA5" w:rsidRPr="006545AD" w:rsidRDefault="00AB1EA5" w:rsidP="00AB1EA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kênh, mương (Lớn, vừa, nhỏ);</w:t>
      </w:r>
    </w:p>
    <w:p w14:paraId="784C389C" w14:textId="77777777" w:rsidR="00AB1EA5" w:rsidRPr="006545AD" w:rsidRDefault="00AB1EA5" w:rsidP="00AB1EA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1F24AC4A" w14:textId="77777777" w:rsidR="00AB1EA5" w:rsidRPr="006545AD" w:rsidRDefault="00AB1EA5" w:rsidP="00AB1EA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5 năm.</w:t>
      </w:r>
    </w:p>
    <w:p w14:paraId="5CF250D9" w14:textId="77777777" w:rsidR="00AB1EA5" w:rsidRPr="006545AD" w:rsidRDefault="00AB1EA5" w:rsidP="00AB1EA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571476FD" w14:textId="77777777" w:rsidR="00AB1EA5" w:rsidRPr="006545AD" w:rsidRDefault="00AB1EA5" w:rsidP="00AB1EA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ngành nông nghiệp và phát triển nông thôn;</w:t>
      </w:r>
    </w:p>
    <w:p w14:paraId="47259FCD" w14:textId="77777777" w:rsidR="00AB1EA5" w:rsidRPr="006545AD" w:rsidRDefault="00AB1EA5" w:rsidP="00AB1EA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097057CA" w14:textId="77777777" w:rsidR="00AB1EA5" w:rsidRPr="006545AD" w:rsidRDefault="00AB1EA5" w:rsidP="00AB1EA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5. Cơ quan chịu trách nhiệm thu thập, tổng hợp: </w:t>
      </w:r>
      <w:r w:rsidRPr="006545AD">
        <w:rPr>
          <w:rFonts w:ascii="Times New Roman" w:eastAsia="Times New Roman" w:hAnsi="Times New Roman" w:cs="Times New Roman"/>
          <w:sz w:val="28"/>
          <w:szCs w:val="28"/>
        </w:rPr>
        <w:t>Bộ Nông nghiệp và Phát triển nông thôn.</w:t>
      </w:r>
    </w:p>
    <w:p w14:paraId="4D2BE039" w14:textId="08AE75EC" w:rsidR="00210E81" w:rsidRPr="006545AD" w:rsidRDefault="00210E81" w:rsidP="00210E81">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2.17</w:t>
      </w:r>
      <w:r w:rsidRPr="006545AD">
        <w:rPr>
          <w:rFonts w:ascii="Times New Roman" w:eastAsia="Times New Roman" w:hAnsi="Times New Roman" w:cs="Times New Roman"/>
          <w:b/>
          <w:sz w:val="28"/>
          <w:szCs w:val="28"/>
        </w:rPr>
        <w:t>. Diện tích đất bị thoái hóa</w:t>
      </w:r>
    </w:p>
    <w:p w14:paraId="2745BC28" w14:textId="77777777" w:rsidR="00210E81" w:rsidRPr="006545AD" w:rsidRDefault="00210E81" w:rsidP="00210E81">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lastRenderedPageBreak/>
        <w:tab/>
      </w:r>
      <w:r w:rsidRPr="006545AD">
        <w:rPr>
          <w:rFonts w:ascii="Times New Roman" w:eastAsia="Times New Roman" w:hAnsi="Times New Roman" w:cs="Times New Roman"/>
          <w:b/>
          <w:sz w:val="28"/>
          <w:szCs w:val="28"/>
        </w:rPr>
        <w:t>1. Khái niệm, phương pháp tính</w:t>
      </w:r>
    </w:p>
    <w:p w14:paraId="39500F04" w14:textId="77777777" w:rsidR="00210E81" w:rsidRPr="006545AD" w:rsidRDefault="00210E81" w:rsidP="00210E81">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Diện tích đất bị thoái hóa là diện tích đất bị thay đổi những đặc tính và tính chất vốn có ban đầu (theo chiều hướng xấu) do sự tác động của điều kiện tự nhiên và con người.</w:t>
      </w:r>
    </w:p>
    <w:p w14:paraId="4F5CE70A" w14:textId="77777777" w:rsidR="00210E81" w:rsidRPr="006545AD" w:rsidRDefault="00210E81" w:rsidP="00210E81">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Thoái hoá đất có khả năng xảy ra trên tất cả các loại đất: Đất sản xuất nông nghiệp, đất lâm nghiệp, đất nuôi trồng thuỷ sản, đất bằng chưa sử dụng, đất đồi núi chưa sử dụng.</w:t>
      </w:r>
    </w:p>
    <w:p w14:paraId="3A185BA0" w14:textId="77777777" w:rsidR="00210E81" w:rsidRPr="006545AD" w:rsidRDefault="00210E81" w:rsidP="00210E81">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Đất bị thoái hóa gồm các loại hình sau: Đất bị khô hạn, hoang mạc hóa; đất bị hoang hóa; sạt lở đất; kết von, đá ong hóa; đất bị chai cứng, chặt bí; ô nhiễm đất; xói mòn đất; đất bị ngập úng; đất bị mặn hóa; đất bị phèn hóa.</w:t>
      </w:r>
    </w:p>
    <w:p w14:paraId="537FDFAB" w14:textId="77777777" w:rsidR="00210E81" w:rsidRPr="006545AD" w:rsidRDefault="00210E81" w:rsidP="00210E81">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color w:val="FF0000"/>
          <w:sz w:val="28"/>
          <w:szCs w:val="28"/>
        </w:rPr>
        <w:tab/>
      </w:r>
      <w:r w:rsidRPr="006545AD">
        <w:rPr>
          <w:rFonts w:ascii="Times New Roman" w:eastAsia="Times New Roman" w:hAnsi="Times New Roman" w:cs="Times New Roman"/>
          <w:sz w:val="28"/>
          <w:szCs w:val="28"/>
        </w:rPr>
        <w:t>Công thức tính:</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01"/>
        <w:gridCol w:w="1849"/>
        <w:gridCol w:w="503"/>
        <w:gridCol w:w="2018"/>
        <w:gridCol w:w="504"/>
        <w:gridCol w:w="1849"/>
      </w:tblGrid>
      <w:tr w:rsidR="00210E81" w:rsidRPr="006545AD" w14:paraId="4246AD91" w14:textId="77777777" w:rsidTr="00350DB3">
        <w:trPr>
          <w:trHeight w:val="900"/>
          <w:jc w:val="center"/>
        </w:trPr>
        <w:tc>
          <w:tcPr>
            <w:tcW w:w="1019" w:type="pct"/>
            <w:vAlign w:val="center"/>
          </w:tcPr>
          <w:p w14:paraId="6BB47517" w14:textId="77777777" w:rsidR="00210E81" w:rsidRPr="006545AD" w:rsidRDefault="00210E81"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diện tích đất bị thoái hóa</w:t>
            </w:r>
          </w:p>
        </w:tc>
        <w:tc>
          <w:tcPr>
            <w:tcW w:w="276" w:type="pct"/>
            <w:vAlign w:val="center"/>
          </w:tcPr>
          <w:p w14:paraId="04FCE89F" w14:textId="77777777" w:rsidR="00210E81" w:rsidRPr="006545AD" w:rsidRDefault="00210E81"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019" w:type="pct"/>
            <w:vAlign w:val="center"/>
          </w:tcPr>
          <w:p w14:paraId="7574D993" w14:textId="77777777" w:rsidR="00210E81" w:rsidRPr="006545AD" w:rsidRDefault="00210E81"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đất bị thoái hóa nhẹ</w:t>
            </w:r>
          </w:p>
        </w:tc>
        <w:tc>
          <w:tcPr>
            <w:tcW w:w="277" w:type="pct"/>
            <w:vAlign w:val="center"/>
          </w:tcPr>
          <w:p w14:paraId="1ECBD6FD" w14:textId="77777777" w:rsidR="00210E81" w:rsidRPr="006545AD" w:rsidRDefault="00210E81"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112" w:type="pct"/>
            <w:vAlign w:val="center"/>
          </w:tcPr>
          <w:p w14:paraId="0D0361AF" w14:textId="77777777" w:rsidR="00210E81" w:rsidRPr="006545AD" w:rsidRDefault="00210E81"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đất bị thoái hóa trung bình</w:t>
            </w:r>
          </w:p>
        </w:tc>
        <w:tc>
          <w:tcPr>
            <w:tcW w:w="278" w:type="pct"/>
            <w:vAlign w:val="center"/>
          </w:tcPr>
          <w:p w14:paraId="55C72BC6" w14:textId="77777777" w:rsidR="00210E81" w:rsidRPr="006545AD" w:rsidRDefault="00210E81"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019" w:type="pct"/>
            <w:vAlign w:val="center"/>
          </w:tcPr>
          <w:p w14:paraId="54E7236B" w14:textId="77777777" w:rsidR="00210E81" w:rsidRPr="006545AD" w:rsidRDefault="00210E81" w:rsidP="005725BC">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đất bị thoái hóa nặng</w:t>
            </w:r>
          </w:p>
        </w:tc>
      </w:tr>
    </w:tbl>
    <w:p w14:paraId="2C7D6A85" w14:textId="77777777" w:rsidR="00210E81" w:rsidRPr="006545AD" w:rsidRDefault="00210E81" w:rsidP="00210E81">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2. Phân tổ chủ yếu: </w:t>
      </w:r>
    </w:p>
    <w:p w14:paraId="626C37CC" w14:textId="77777777" w:rsidR="00210E81" w:rsidRPr="006545AD" w:rsidRDefault="00210E81" w:rsidP="00210E81">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hình thoái hoá (cao, trung bình, thấp);</w:t>
      </w:r>
    </w:p>
    <w:p w14:paraId="6CA571E3" w14:textId="77777777" w:rsidR="00210E81" w:rsidRPr="006545AD" w:rsidRDefault="00210E81" w:rsidP="00210E81">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đất (đất sản xuất nông nghiệp/ đất lâm nghiệp/đất nuôi trồng thuỷ sản/đất làm muối/ đất nông nghiệp khác/đất chưa sử dụng);</w:t>
      </w:r>
    </w:p>
    <w:p w14:paraId="220EF712" w14:textId="77777777" w:rsidR="00210E81" w:rsidRPr="006545AD" w:rsidRDefault="00210E81" w:rsidP="00210E81">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33292CB4" w14:textId="77777777" w:rsidR="00210E81" w:rsidRPr="006545AD" w:rsidRDefault="00210E81" w:rsidP="00210E81">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5 năm.</w:t>
      </w:r>
    </w:p>
    <w:p w14:paraId="4DA4D3F3" w14:textId="77777777" w:rsidR="00210E81" w:rsidRPr="006545AD" w:rsidRDefault="00210E81" w:rsidP="00210E81">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4763F3F5" w14:textId="77777777" w:rsidR="00210E81" w:rsidRPr="006545AD" w:rsidRDefault="00210E81" w:rsidP="00210E81">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Dữ liệu hành chính;</w:t>
      </w:r>
    </w:p>
    <w:p w14:paraId="6092E04F" w14:textId="77777777" w:rsidR="00210E81" w:rsidRPr="006545AD" w:rsidRDefault="00210E81" w:rsidP="00210E81">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Chế độ báo cáo thống kê cấp quốc gia.</w:t>
      </w:r>
    </w:p>
    <w:p w14:paraId="7DB41C86" w14:textId="77777777" w:rsidR="00210E81" w:rsidRPr="006545AD" w:rsidRDefault="00210E81" w:rsidP="00210E81">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5. Cơ quan chịu trách nhiệm thu thập, tổng hợp:</w:t>
      </w:r>
      <w:r w:rsidRPr="006545AD">
        <w:rPr>
          <w:rFonts w:ascii="Times New Roman" w:eastAsia="Times New Roman" w:hAnsi="Times New Roman" w:cs="Times New Roman"/>
          <w:spacing w:val="4"/>
          <w:sz w:val="28"/>
          <w:szCs w:val="28"/>
        </w:rPr>
        <w:t xml:space="preserve"> Bộ Tài nguyên và Môi trường.</w:t>
      </w:r>
    </w:p>
    <w:p w14:paraId="13238B15" w14:textId="0EB80BC9"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2.18</w:t>
      </w:r>
      <w:r w:rsidR="00750749"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b/>
          <w:sz w:val="28"/>
          <w:szCs w:val="28"/>
        </w:rPr>
        <w:t>Diện tích các loại cây trồng được chứng nhận thực hành nông nghiệp tốt (VietGAP) và tương đương</w:t>
      </w:r>
    </w:p>
    <w:p w14:paraId="559B6930"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461F37FE" w14:textId="77777777" w:rsidR="0007713D" w:rsidRPr="006545AD" w:rsidRDefault="0092615D" w:rsidP="0007713D">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07713D" w:rsidRPr="006545AD">
        <w:rPr>
          <w:rFonts w:ascii="Times New Roman" w:eastAsia="Times New Roman" w:hAnsi="Times New Roman" w:cs="Times New Roman"/>
          <w:sz w:val="28"/>
          <w:szCs w:val="28"/>
        </w:rPr>
        <w:t xml:space="preserve">Thực hành nông nghiệp tốt (VietGAP) trong lĩnh vực trồng trọt là tiêu chuẩn thực hành trong trồng trọt nhằm mục đích đảm bảo an toàn thực phẩm, nâng cao chất lượng sản phẩm; đảm bảo sức khỏe và an toàn lao động đối với người sản xuất; bảo vệ môi trường và truy nguyên nguồn gốc sản phẩm. </w:t>
      </w:r>
    </w:p>
    <w:p w14:paraId="36B3F825" w14:textId="77777777" w:rsidR="0007713D" w:rsidRPr="006545AD" w:rsidRDefault="0007713D" w:rsidP="0007713D">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Diện tích các loại cây trồng được chứng nhận thực hành nông nghiệp tốt (VietGAP) và tương đương là diện tích cây trồng được tổ chức chứng nhận chứng nhận phù hợp TCVN 11892-1:2017 và các tiêu chuẩn thực hành nông nghiệp tốt tương đương VietGAP.</w:t>
      </w:r>
    </w:p>
    <w:p w14:paraId="31437A5C" w14:textId="77777777" w:rsidR="0007713D" w:rsidRPr="006545AD" w:rsidRDefault="0007713D" w:rsidP="0007713D">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t>Tiêu chuẩn thực hành nông nghiệp tốt tương đương VietGAP như: GlobalG.A.P, ASIAGAP, ASEANGAP, Rainforest Allinace, 4C, UTZ, … và tiêu chuẩn trồng trọt hữu cơ.</w:t>
      </w:r>
    </w:p>
    <w:p w14:paraId="04B9E9E0" w14:textId="77777777" w:rsidR="0007713D" w:rsidRPr="006545AD" w:rsidRDefault="0007713D" w:rsidP="0007713D">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Thống kê cộng dồn diện tích cây trồng được chứng nhận VietGAP hoặc chứng nhận khác tương đương (đang còn hiệu lực) trên địa bàn trong kỳ báo cáo.</w:t>
      </w:r>
    </w:p>
    <w:p w14:paraId="780BA496" w14:textId="77BE8907" w:rsidR="00F408D5" w:rsidRPr="006545AD" w:rsidRDefault="0007713D" w:rsidP="0007713D">
      <w:pPr>
        <w:spacing w:before="60" w:after="60" w:line="360" w:lineRule="exact"/>
        <w:jc w:val="both"/>
        <w:rPr>
          <w:rFonts w:ascii="Times New Roman" w:eastAsia="Times New Roman" w:hAnsi="Times New Roman" w:cs="Times New Roman"/>
          <w:b/>
          <w:sz w:val="28"/>
          <w:szCs w:val="28"/>
        </w:rPr>
      </w:pPr>
      <w:r w:rsidRPr="006545AD" w:rsidDel="0007713D">
        <w:rPr>
          <w:rFonts w:ascii="Times New Roman" w:eastAsia="Times New Roman" w:hAnsi="Times New Roman" w:cs="Times New Roman"/>
          <w:sz w:val="28"/>
          <w:szCs w:val="28"/>
        </w:rPr>
        <w:t xml:space="preserve"> </w:t>
      </w:r>
      <w:r w:rsidR="009025E8"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2. Phân tổ chủ yếu</w:t>
      </w:r>
    </w:p>
    <w:p w14:paraId="71B603E7"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cây trồng chính;</w:t>
      </w:r>
    </w:p>
    <w:p w14:paraId="6EC0A70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chứng nhận (GAP/hữu cơ/chứng nhận khác);</w:t>
      </w:r>
    </w:p>
    <w:p w14:paraId="6FD4D05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r w:rsidR="00984868" w:rsidRPr="006545AD">
        <w:rPr>
          <w:rFonts w:ascii="Times New Roman" w:eastAsia="Times New Roman" w:hAnsi="Times New Roman" w:cs="Times New Roman"/>
          <w:sz w:val="28"/>
          <w:szCs w:val="28"/>
        </w:rPr>
        <w:t>.</w:t>
      </w:r>
    </w:p>
    <w:p w14:paraId="5248C1B7"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5 Năm</w:t>
      </w:r>
      <w:r w:rsidR="00984868" w:rsidRPr="006545AD">
        <w:rPr>
          <w:rFonts w:ascii="Times New Roman" w:eastAsia="Times New Roman" w:hAnsi="Times New Roman" w:cs="Times New Roman"/>
          <w:sz w:val="28"/>
          <w:szCs w:val="28"/>
        </w:rPr>
        <w:t>.</w:t>
      </w:r>
    </w:p>
    <w:p w14:paraId="4C3C60E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435F169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ngành nông nghiệp và phát triển nông thôn;</w:t>
      </w:r>
    </w:p>
    <w:p w14:paraId="31F2D5C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 Báo cáo của Tổng cục Thống kê.</w:t>
      </w:r>
    </w:p>
    <w:p w14:paraId="4BFF35B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5. Cơ quan chịu trách nhiệm thu thập, tổng hợp: </w:t>
      </w:r>
      <w:r w:rsidRPr="006545AD">
        <w:rPr>
          <w:rFonts w:ascii="Times New Roman" w:eastAsia="Times New Roman" w:hAnsi="Times New Roman" w:cs="Times New Roman"/>
          <w:sz w:val="28"/>
          <w:szCs w:val="28"/>
        </w:rPr>
        <w:t>Bộ Nông nghiệp và Phát triển nông thôn</w:t>
      </w:r>
      <w:r w:rsidR="00984868" w:rsidRPr="006545AD">
        <w:rPr>
          <w:rFonts w:ascii="Times New Roman" w:eastAsia="Times New Roman" w:hAnsi="Times New Roman" w:cs="Times New Roman"/>
          <w:sz w:val="28"/>
          <w:szCs w:val="28"/>
        </w:rPr>
        <w:t>.</w:t>
      </w:r>
    </w:p>
    <w:p w14:paraId="18BC76D7" w14:textId="1DE104B5"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2.19</w:t>
      </w:r>
      <w:r w:rsidR="00C70840" w:rsidRPr="006545AD">
        <w:rPr>
          <w:rFonts w:ascii="Times New Roman" w:eastAsia="Times New Roman" w:hAnsi="Times New Roman" w:cs="Times New Roman"/>
          <w:b/>
          <w:sz w:val="28"/>
          <w:szCs w:val="28"/>
        </w:rPr>
        <w:t>. Diện</w:t>
      </w:r>
      <w:r w:rsidR="006E7C70" w:rsidRPr="006545AD">
        <w:rPr>
          <w:rFonts w:ascii="Times New Roman" w:eastAsia="Times New Roman" w:hAnsi="Times New Roman" w:cs="Times New Roman"/>
          <w:b/>
          <w:sz w:val="28"/>
          <w:szCs w:val="28"/>
        </w:rPr>
        <w:t xml:space="preserve"> tích nuôi trồng thuỷ sản được chứng nhận thực hàn</w:t>
      </w:r>
      <w:r w:rsidR="003C717E" w:rsidRPr="006545AD">
        <w:rPr>
          <w:rFonts w:ascii="Times New Roman" w:eastAsia="Times New Roman" w:hAnsi="Times New Roman" w:cs="Times New Roman"/>
          <w:b/>
          <w:sz w:val="28"/>
          <w:szCs w:val="28"/>
        </w:rPr>
        <w:t>h nuôi trồng thuỷ sản tốt (VietGAP</w:t>
      </w:r>
      <w:r w:rsidR="006E7C70" w:rsidRPr="006545AD">
        <w:rPr>
          <w:rFonts w:ascii="Times New Roman" w:eastAsia="Times New Roman" w:hAnsi="Times New Roman" w:cs="Times New Roman"/>
          <w:b/>
          <w:sz w:val="28"/>
          <w:szCs w:val="28"/>
        </w:rPr>
        <w:t>) và tương đương</w:t>
      </w:r>
    </w:p>
    <w:p w14:paraId="1127C2EA"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D6D5650" w14:textId="77777777" w:rsidR="00F408D5" w:rsidRPr="006545AD" w:rsidRDefault="006E7C70" w:rsidP="005725BC">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nuôi trồng thủy sản áp dụng quy trình thực hành nuôi trồng thủy sản tốt (VietGAP) và tương đương là diện tích mặt nước ngọt, nước lợ và nước mặn được sử dụng vào mục đích nuôi trồng thủy sản đạt các tiêu chuẩn chứng nhận thực hành nuôi trồng thủy sản tốt và tương đương.</w:t>
      </w:r>
    </w:p>
    <w:p w14:paraId="26950398" w14:textId="77777777" w:rsidR="00F408D5" w:rsidRPr="006545AD" w:rsidRDefault="006E7C70" w:rsidP="005725BC">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Thực hành nuôi trồng thủy sản tốt tại Việt Nam (VietGAP) là quy phạm thực hành ứng dụng trong nuôi trồng thủy sản nhằm đảm bảo các yêu cầu về an toàn vệ sinh thực phẩm, giảm thiểu dịch bệnh, giảm thiểu ô nhiễm môi trường sinh thái, đảm bảo trách nhiệm xã hội và truy nguyên nguồn gốc sản phẩm.</w:t>
      </w:r>
    </w:p>
    <w:p w14:paraId="3DB7B177" w14:textId="77777777" w:rsidR="00F408D5" w:rsidRPr="006545AD" w:rsidRDefault="006E7C70" w:rsidP="005725BC">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Tiêu chuẩn thực hành nuôi trồng thủy sản tương đương VietGAP như các tiêu chuẩn ASC (do Hội đồng quản lý nuôi trồng thủy sản được thành lập bởi Quỹ Quốc tế Bảo vệ Thiên nhiên WWF và Tổ chức Sáng kiến Thương mại Bền vững Hà Lan IDH xây dựng và ban hành); tiêu chuẩn BAP (thực hành nuôi trồng thủy sản tốt nhất do Liên minh Nuôi trồng thủy sản toàn cầu GAA xây dựng và ban hành); tiêu chuẩn nuôi trồng thủy sản hữu cơ…</w:t>
      </w:r>
    </w:p>
    <w:p w14:paraId="4B1FF480" w14:textId="77777777" w:rsidR="00BD7F28" w:rsidRPr="006545AD" w:rsidRDefault="006E7C70" w:rsidP="005725BC">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Diện tích nuôi trồng thuỷ sản được chứng nhận thực hành </w:t>
      </w:r>
      <w:r w:rsidR="003C717E" w:rsidRPr="006545AD">
        <w:rPr>
          <w:rFonts w:ascii="Times New Roman" w:eastAsia="Times New Roman" w:hAnsi="Times New Roman" w:cs="Times New Roman"/>
          <w:sz w:val="28"/>
          <w:szCs w:val="28"/>
        </w:rPr>
        <w:t>nuôi trồng thuỷ sản tốt (VietGAP</w:t>
      </w:r>
      <w:r w:rsidRPr="006545AD">
        <w:rPr>
          <w:rFonts w:ascii="Times New Roman" w:eastAsia="Times New Roman" w:hAnsi="Times New Roman" w:cs="Times New Roman"/>
          <w:sz w:val="28"/>
          <w:szCs w:val="28"/>
        </w:rPr>
        <w:t>) và tương đương (Đơn vị tính: ha) là kết quả cộng dồn diện tích nuôi trồng thủy sản được chứng nhận VietGAP hoặc chứng nhận khác tương đương (đang còn hiệu lực) trên địa bàn tại thời điểm báo cáo.</w:t>
      </w:r>
    </w:p>
    <w:p w14:paraId="23F3BD46" w14:textId="77777777" w:rsidR="00F408D5" w:rsidRPr="006545AD" w:rsidRDefault="00BD7F28" w:rsidP="00BD7F2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2. Phân tổ chủ yếu</w:t>
      </w:r>
    </w:p>
    <w:p w14:paraId="58B0FA0C" w14:textId="77777777" w:rsidR="00F408D5" w:rsidRPr="006545AD" w:rsidRDefault="00BD7F28" w:rsidP="00923EF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r>
      <w:r w:rsidR="006E7C70" w:rsidRPr="006545AD">
        <w:rPr>
          <w:rFonts w:ascii="Times New Roman" w:eastAsia="Times New Roman" w:hAnsi="Times New Roman" w:cs="Times New Roman"/>
          <w:sz w:val="28"/>
          <w:szCs w:val="28"/>
        </w:rPr>
        <w:t>- Loại thủy sản;</w:t>
      </w:r>
    </w:p>
    <w:p w14:paraId="1875937A" w14:textId="77777777" w:rsidR="00F408D5" w:rsidRPr="006545AD" w:rsidRDefault="00BD7F28" w:rsidP="00923EF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Loại chứng nhận;</w:t>
      </w:r>
    </w:p>
    <w:p w14:paraId="71A75F1F" w14:textId="77777777" w:rsidR="00BD7F28" w:rsidRPr="006545AD" w:rsidRDefault="00BD7F28" w:rsidP="00BD7F2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Tỉnh, thành phố trực thuộc Trung ương</w:t>
      </w:r>
      <w:r w:rsidR="003C717E" w:rsidRPr="006545AD">
        <w:rPr>
          <w:rFonts w:ascii="Times New Roman" w:eastAsia="Times New Roman" w:hAnsi="Times New Roman" w:cs="Times New Roman"/>
          <w:sz w:val="28"/>
          <w:szCs w:val="28"/>
        </w:rPr>
        <w:t>.</w:t>
      </w:r>
    </w:p>
    <w:p w14:paraId="3CF9241E" w14:textId="77777777" w:rsidR="00BD7F28" w:rsidRPr="006545AD" w:rsidRDefault="00BD7F28" w:rsidP="00BD7F2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3. Kỳ công bố:</w:t>
      </w:r>
      <w:r w:rsidR="006E7C70" w:rsidRPr="006545AD">
        <w:rPr>
          <w:rFonts w:ascii="Times New Roman" w:eastAsia="Times New Roman" w:hAnsi="Times New Roman" w:cs="Times New Roman"/>
          <w:sz w:val="28"/>
          <w:szCs w:val="28"/>
        </w:rPr>
        <w:t xml:space="preserve"> 5 năm</w:t>
      </w:r>
      <w:r w:rsidR="00984868" w:rsidRPr="006545AD">
        <w:rPr>
          <w:rFonts w:ascii="Times New Roman" w:eastAsia="Times New Roman" w:hAnsi="Times New Roman" w:cs="Times New Roman"/>
          <w:sz w:val="28"/>
          <w:szCs w:val="28"/>
        </w:rPr>
        <w:t>.</w:t>
      </w:r>
    </w:p>
    <w:p w14:paraId="3CEB767B" w14:textId="77777777" w:rsidR="00BD7F28" w:rsidRPr="006545AD" w:rsidRDefault="00BD7F28" w:rsidP="00BD7F2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4. Nguồn số liệu:</w:t>
      </w:r>
    </w:p>
    <w:p w14:paraId="302D0F85" w14:textId="77777777" w:rsidR="00BD7F28" w:rsidRPr="006545AD" w:rsidRDefault="00BD7F28" w:rsidP="00BD7F2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Điều tra thống kê;</w:t>
      </w:r>
    </w:p>
    <w:p w14:paraId="4BB93C0E" w14:textId="77777777" w:rsidR="00BD7F28" w:rsidRPr="006545AD" w:rsidRDefault="00BD7F28" w:rsidP="00BD7F28">
      <w:pPr>
        <w:spacing w:before="60" w:after="60" w:line="360" w:lineRule="exact"/>
        <w:ind w:firstLine="9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Chế độ báo cáo thống kê ngành nông nghiệp và phát triển nông thôn</w:t>
      </w:r>
      <w:r w:rsidR="00984868" w:rsidRPr="006545AD">
        <w:rPr>
          <w:rFonts w:ascii="Times New Roman" w:eastAsia="Times New Roman" w:hAnsi="Times New Roman" w:cs="Times New Roman"/>
          <w:sz w:val="28"/>
          <w:szCs w:val="28"/>
        </w:rPr>
        <w:t>.</w:t>
      </w:r>
    </w:p>
    <w:p w14:paraId="1C41BDA7" w14:textId="77777777" w:rsidR="00F408D5" w:rsidRPr="006545AD" w:rsidRDefault="00BD7F28" w:rsidP="00BD7F28">
      <w:pPr>
        <w:spacing w:before="60" w:after="60" w:line="360" w:lineRule="exact"/>
        <w:ind w:firstLine="9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 xml:space="preserve">5. Cơ quan chịu trách nhiệm thu thập, tổng hợp: </w:t>
      </w:r>
      <w:r w:rsidR="006E7C70" w:rsidRPr="006545AD">
        <w:rPr>
          <w:rFonts w:ascii="Times New Roman" w:eastAsia="Times New Roman" w:hAnsi="Times New Roman" w:cs="Times New Roman"/>
          <w:sz w:val="28"/>
          <w:szCs w:val="28"/>
        </w:rPr>
        <w:t>Bộ Nông nghiệp và Phát triển nông thôn</w:t>
      </w:r>
      <w:r w:rsidR="00984868" w:rsidRPr="006545AD">
        <w:rPr>
          <w:rFonts w:ascii="Times New Roman" w:eastAsia="Times New Roman" w:hAnsi="Times New Roman" w:cs="Times New Roman"/>
          <w:sz w:val="28"/>
          <w:szCs w:val="28"/>
        </w:rPr>
        <w:t>.</w:t>
      </w:r>
    </w:p>
    <w:p w14:paraId="21157DF8" w14:textId="52A20173" w:rsidR="00F408D5" w:rsidRPr="006545AD" w:rsidRDefault="00BD7F28" w:rsidP="00C651A7">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2.20</w:t>
      </w:r>
      <w:r w:rsidR="00C70840"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giá trị sản phẩm nông ng</w:t>
      </w:r>
      <w:r w:rsidR="00C651A7" w:rsidRPr="006545AD">
        <w:rPr>
          <w:rFonts w:ascii="Times New Roman" w:eastAsia="Times New Roman" w:hAnsi="Times New Roman" w:cs="Times New Roman"/>
          <w:b/>
          <w:sz w:val="28"/>
          <w:szCs w:val="28"/>
        </w:rPr>
        <w:t xml:space="preserve">hiệp được sản xuất theo các quy </w:t>
      </w:r>
      <w:r w:rsidR="006E7C70" w:rsidRPr="006545AD">
        <w:rPr>
          <w:rFonts w:ascii="Times New Roman" w:eastAsia="Times New Roman" w:hAnsi="Times New Roman" w:cs="Times New Roman"/>
          <w:b/>
          <w:sz w:val="28"/>
          <w:szCs w:val="28"/>
        </w:rPr>
        <w:t>trình sản xuất tốt (GAP) hoặc tương đương</w:t>
      </w:r>
    </w:p>
    <w:p w14:paraId="508E65D0" w14:textId="77777777" w:rsidR="00F408D5" w:rsidRPr="006545AD" w:rsidRDefault="00BD7F2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01E4CAC9" w14:textId="77777777" w:rsidR="00F408D5" w:rsidRPr="006545AD" w:rsidRDefault="00D473D2"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Tỷ lệ giá trị sản phẩm nông nghiệp được sản xuất theo các quy trình sản xuất tốt (GAP) hoặc tương đương là tỷ lệ phần trăm giữa giá trị sản phẩm nông nghiệp được sản xuất theo các quy trình sản xuất tốt (GAP) hoặc tương đương so với tổng giá trị sản phẩm nông nghiệp (giá hiện hành) trên địa bàn trong kỳ.</w:t>
      </w:r>
    </w:p>
    <w:p w14:paraId="71BB5101" w14:textId="1DBE2A00" w:rsidR="00F408D5" w:rsidRPr="006545AD" w:rsidRDefault="00D473D2"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Quy trình (Quy phạm) thực hành sản xuất nông nghiệp tốt là tập hợp các tiêu chuẩn, tiêu chí do tổ chức, quố</w:t>
      </w:r>
      <w:r w:rsidR="003C717E" w:rsidRPr="006545AD">
        <w:rPr>
          <w:rFonts w:ascii="Times New Roman" w:eastAsia="Times New Roman" w:hAnsi="Times New Roman" w:cs="Times New Roman"/>
          <w:sz w:val="28"/>
          <w:szCs w:val="28"/>
        </w:rPr>
        <w:t>c gia, nhóm quốc gia hoặc Việt N</w:t>
      </w:r>
      <w:r w:rsidR="006E7C70" w:rsidRPr="006545AD">
        <w:rPr>
          <w:rFonts w:ascii="Times New Roman" w:eastAsia="Times New Roman" w:hAnsi="Times New Roman" w:cs="Times New Roman"/>
          <w:sz w:val="28"/>
          <w:szCs w:val="28"/>
        </w:rPr>
        <w:t>am ban hành đối với từng sản phẩm, trồng trọt, chăn nuôi để hướng dẫn người sản xuất áp dụng nhằm bảo đảm chất lượng, an toàn thực phẩm, truy xuất nguồn gốc sản phẩm, bảo vệ môi trường và sức khỏe, an sinh xã hội cho người lao động, bao gồm các quy trình GAP (Good Agricultural Practices) hoặc các quy trình khác tương đương</w:t>
      </w:r>
      <w:r w:rsidR="001040E6" w:rsidRPr="006545AD">
        <w:rPr>
          <w:rFonts w:ascii="Times New Roman" w:eastAsia="Times New Roman" w:hAnsi="Times New Roman" w:cs="Times New Roman"/>
          <w:sz w:val="28"/>
          <w:szCs w:val="28"/>
          <w:lang w:val="vi-VN"/>
        </w:rPr>
        <w:t xml:space="preserve">. </w:t>
      </w:r>
      <w:r w:rsidR="006E7C70" w:rsidRPr="006545AD">
        <w:rPr>
          <w:rFonts w:ascii="Times New Roman" w:eastAsia="Times New Roman" w:hAnsi="Times New Roman" w:cs="Times New Roman"/>
          <w:sz w:val="28"/>
          <w:szCs w:val="28"/>
        </w:rPr>
        <w:t xml:space="preserve">Tiêu chuẩn thực hành nông nghiệp tốt </w:t>
      </w:r>
      <w:r w:rsidR="009E10CA" w:rsidRPr="006545AD">
        <w:rPr>
          <w:rFonts w:ascii="Times New Roman" w:eastAsia="Times New Roman" w:hAnsi="Times New Roman" w:cs="Times New Roman"/>
          <w:sz w:val="28"/>
          <w:szCs w:val="28"/>
        </w:rPr>
        <w:t xml:space="preserve">tương đương </w:t>
      </w:r>
      <w:r w:rsidR="006E7C70" w:rsidRPr="006545AD">
        <w:rPr>
          <w:rFonts w:ascii="Times New Roman" w:eastAsia="Times New Roman" w:hAnsi="Times New Roman" w:cs="Times New Roman"/>
          <w:sz w:val="28"/>
          <w:szCs w:val="28"/>
        </w:rPr>
        <w:t>VietGAP như Global GAP, Asean GAP, Euro GAP, VietGAP, GRASP, RA, RainFor</w:t>
      </w:r>
      <w:r w:rsidR="003C717E" w:rsidRPr="006545AD">
        <w:rPr>
          <w:rFonts w:ascii="Times New Roman" w:eastAsia="Times New Roman" w:hAnsi="Times New Roman" w:cs="Times New Roman"/>
          <w:sz w:val="28"/>
          <w:szCs w:val="28"/>
        </w:rPr>
        <w:t xml:space="preserve">est, 4C, UITZ, và </w:t>
      </w:r>
      <w:r w:rsidR="009E10CA" w:rsidRPr="006545AD">
        <w:rPr>
          <w:rFonts w:ascii="Times New Roman" w:eastAsia="Times New Roman" w:hAnsi="Times New Roman" w:cs="Times New Roman"/>
          <w:sz w:val="28"/>
          <w:szCs w:val="28"/>
        </w:rPr>
        <w:t xml:space="preserve">tiêu chuẩn trồng trọt hữu cơ. </w:t>
      </w:r>
    </w:p>
    <w:p w14:paraId="3A1F91C5" w14:textId="77777777" w:rsidR="00BD7F28" w:rsidRPr="006545AD" w:rsidRDefault="00BD7F2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sz w:val="28"/>
          <w:szCs w:val="28"/>
        </w:rPr>
        <w:t xml:space="preserve">Công thức tính: </w:t>
      </w:r>
    </w:p>
    <w:tbl>
      <w:tblPr>
        <w:tblStyle w:val="TableGrid"/>
        <w:tblW w:w="5076" w:type="pct"/>
        <w:jc w:val="center"/>
        <w:tblLook w:val="04A0" w:firstRow="1" w:lastRow="0" w:firstColumn="1" w:lastColumn="0" w:noHBand="0" w:noVBand="1"/>
      </w:tblPr>
      <w:tblGrid>
        <w:gridCol w:w="2695"/>
        <w:gridCol w:w="567"/>
        <w:gridCol w:w="5034"/>
        <w:gridCol w:w="914"/>
      </w:tblGrid>
      <w:tr w:rsidR="00BD7F28" w:rsidRPr="006545AD" w14:paraId="378E9FDC" w14:textId="77777777" w:rsidTr="005725BC">
        <w:trPr>
          <w:trHeight w:val="1366"/>
          <w:jc w:val="center"/>
        </w:trPr>
        <w:tc>
          <w:tcPr>
            <w:tcW w:w="1463" w:type="pct"/>
            <w:vMerge w:val="restart"/>
            <w:tcBorders>
              <w:top w:val="nil"/>
              <w:left w:val="nil"/>
              <w:bottom w:val="nil"/>
              <w:right w:val="nil"/>
            </w:tcBorders>
            <w:vAlign w:val="center"/>
          </w:tcPr>
          <w:p w14:paraId="6827F686" w14:textId="77777777" w:rsidR="00BD7F28" w:rsidRPr="006545AD" w:rsidRDefault="00BD7F28" w:rsidP="00D473D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giá trị sản phẩm nông nghiệp được sản xuất theo các quy trình sản xuất tốt (GAP) hoặc tương đương (%)</w:t>
            </w:r>
          </w:p>
        </w:tc>
        <w:tc>
          <w:tcPr>
            <w:tcW w:w="308" w:type="pct"/>
            <w:vMerge w:val="restart"/>
            <w:tcBorders>
              <w:top w:val="nil"/>
              <w:left w:val="nil"/>
              <w:bottom w:val="nil"/>
              <w:right w:val="nil"/>
            </w:tcBorders>
            <w:vAlign w:val="center"/>
          </w:tcPr>
          <w:p w14:paraId="60296937" w14:textId="77777777" w:rsidR="00BD7F28" w:rsidRPr="006545AD" w:rsidRDefault="00BD7F28" w:rsidP="00750749">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733" w:type="pct"/>
            <w:tcBorders>
              <w:top w:val="nil"/>
              <w:left w:val="nil"/>
              <w:bottom w:val="single" w:sz="4" w:space="0" w:color="auto"/>
              <w:right w:val="nil"/>
            </w:tcBorders>
            <w:vAlign w:val="center"/>
          </w:tcPr>
          <w:p w14:paraId="2FB64A75" w14:textId="77777777" w:rsidR="00BD7F28" w:rsidRPr="006545AD" w:rsidRDefault="00224DB4" w:rsidP="0075074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sản phẩm nông nghiệp được sản xuất theo các quy trình sản xuất tốt (GAP) hoặc tương đương</w:t>
            </w:r>
          </w:p>
        </w:tc>
        <w:tc>
          <w:tcPr>
            <w:tcW w:w="496" w:type="pct"/>
            <w:vMerge w:val="restart"/>
            <w:tcBorders>
              <w:top w:val="nil"/>
              <w:left w:val="nil"/>
              <w:bottom w:val="nil"/>
              <w:right w:val="nil"/>
            </w:tcBorders>
            <w:vAlign w:val="center"/>
          </w:tcPr>
          <w:p w14:paraId="7F533E6C" w14:textId="235DF4E1" w:rsidR="00BD7F28" w:rsidRPr="006545AD" w:rsidRDefault="00A339A7" w:rsidP="00750749">
            <w:pPr>
              <w:spacing w:before="60" w:after="60" w:line="360" w:lineRule="exact"/>
              <w:jc w:val="both"/>
              <w:rPr>
                <w:rFonts w:ascii="Times New Roman" w:eastAsia="Times New Roman" w:hAnsi="Times New Roman" w:cs="Times New Roman"/>
                <w:sz w:val="28"/>
                <w:szCs w:val="28"/>
              </w:rPr>
            </w:pPr>
            <w:r w:rsidRPr="006545AD">
              <w:rPr>
                <w:sz w:val="26"/>
                <w:szCs w:val="26"/>
              </w:rPr>
              <w:t>×</w:t>
            </w:r>
            <w:r w:rsidR="00BD7F28" w:rsidRPr="006545AD">
              <w:rPr>
                <w:rFonts w:ascii="Times New Roman" w:eastAsia="Times New Roman" w:hAnsi="Times New Roman" w:cs="Times New Roman"/>
                <w:sz w:val="28"/>
                <w:szCs w:val="28"/>
              </w:rPr>
              <w:t xml:space="preserve"> 100</w:t>
            </w:r>
          </w:p>
        </w:tc>
      </w:tr>
      <w:tr w:rsidR="00BD7F28" w:rsidRPr="006545AD" w14:paraId="4BFA93F0" w14:textId="77777777" w:rsidTr="005725BC">
        <w:trPr>
          <w:trHeight w:val="1236"/>
          <w:jc w:val="center"/>
        </w:trPr>
        <w:tc>
          <w:tcPr>
            <w:tcW w:w="1463" w:type="pct"/>
            <w:vMerge/>
            <w:tcBorders>
              <w:top w:val="nil"/>
              <w:left w:val="nil"/>
              <w:bottom w:val="nil"/>
              <w:right w:val="nil"/>
            </w:tcBorders>
            <w:vAlign w:val="center"/>
          </w:tcPr>
          <w:p w14:paraId="759780AD" w14:textId="77777777" w:rsidR="00BD7F28" w:rsidRPr="006545AD" w:rsidRDefault="00BD7F28" w:rsidP="00750749">
            <w:pPr>
              <w:spacing w:before="60" w:after="60" w:line="360" w:lineRule="exact"/>
              <w:jc w:val="both"/>
              <w:rPr>
                <w:rFonts w:ascii="Times New Roman" w:eastAsia="Times New Roman" w:hAnsi="Times New Roman" w:cs="Times New Roman"/>
                <w:sz w:val="28"/>
                <w:szCs w:val="28"/>
              </w:rPr>
            </w:pPr>
          </w:p>
        </w:tc>
        <w:tc>
          <w:tcPr>
            <w:tcW w:w="308" w:type="pct"/>
            <w:vMerge/>
            <w:tcBorders>
              <w:top w:val="nil"/>
              <w:left w:val="nil"/>
              <w:bottom w:val="nil"/>
              <w:right w:val="nil"/>
            </w:tcBorders>
            <w:vAlign w:val="center"/>
          </w:tcPr>
          <w:p w14:paraId="5030712C" w14:textId="77777777" w:rsidR="00BD7F28" w:rsidRPr="006545AD" w:rsidRDefault="00BD7F28" w:rsidP="00750749">
            <w:pPr>
              <w:spacing w:before="60" w:after="60" w:line="360" w:lineRule="exact"/>
              <w:jc w:val="both"/>
              <w:rPr>
                <w:rFonts w:ascii="Times New Roman" w:eastAsia="Times New Roman" w:hAnsi="Times New Roman" w:cs="Times New Roman"/>
                <w:sz w:val="28"/>
                <w:szCs w:val="28"/>
              </w:rPr>
            </w:pPr>
          </w:p>
        </w:tc>
        <w:tc>
          <w:tcPr>
            <w:tcW w:w="2733" w:type="pct"/>
            <w:tcBorders>
              <w:top w:val="single" w:sz="4" w:space="0" w:color="auto"/>
              <w:left w:val="nil"/>
              <w:bottom w:val="nil"/>
              <w:right w:val="nil"/>
            </w:tcBorders>
            <w:vAlign w:val="center"/>
          </w:tcPr>
          <w:p w14:paraId="6D72766E" w14:textId="77777777" w:rsidR="00BD7F28" w:rsidRPr="006545AD" w:rsidRDefault="00224DB4" w:rsidP="0075074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giá trị sản phẩm nông nghiệp</w:t>
            </w:r>
          </w:p>
        </w:tc>
        <w:tc>
          <w:tcPr>
            <w:tcW w:w="496" w:type="pct"/>
            <w:vMerge/>
            <w:tcBorders>
              <w:top w:val="nil"/>
              <w:left w:val="nil"/>
              <w:bottom w:val="nil"/>
              <w:right w:val="nil"/>
            </w:tcBorders>
            <w:vAlign w:val="center"/>
          </w:tcPr>
          <w:p w14:paraId="5B3644CF" w14:textId="77777777" w:rsidR="00BD7F28" w:rsidRPr="006545AD" w:rsidRDefault="00BD7F28" w:rsidP="00750749">
            <w:pPr>
              <w:spacing w:before="60" w:after="60" w:line="360" w:lineRule="exact"/>
              <w:jc w:val="both"/>
              <w:rPr>
                <w:rFonts w:ascii="Times New Roman" w:eastAsia="Times New Roman" w:hAnsi="Times New Roman" w:cs="Times New Roman"/>
                <w:sz w:val="28"/>
                <w:szCs w:val="28"/>
              </w:rPr>
            </w:pPr>
          </w:p>
        </w:tc>
      </w:tr>
    </w:tbl>
    <w:p w14:paraId="670A36C0" w14:textId="77777777" w:rsidR="00F408D5" w:rsidRPr="006545AD" w:rsidRDefault="00D473D2"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Trong đó:</w:t>
      </w:r>
    </w:p>
    <w:p w14:paraId="0DE3586B" w14:textId="66881C06" w:rsidR="00F408D5" w:rsidRPr="006545AD" w:rsidRDefault="006E7C70" w:rsidP="005725BC">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Giá trị sản phẩm nông nghiệp được sản xuất theo các quy trình sản xuất tốt (GAP) hoặc tương đương bằng sản lượng sản phẩm nông nghiệp sản xuất theo </w:t>
      </w:r>
      <w:r w:rsidRPr="006545AD">
        <w:rPr>
          <w:rFonts w:ascii="Times New Roman" w:eastAsia="Times New Roman" w:hAnsi="Times New Roman" w:cs="Times New Roman"/>
          <w:sz w:val="28"/>
          <w:szCs w:val="28"/>
        </w:rPr>
        <w:lastRenderedPageBreak/>
        <w:t xml:space="preserve">các quy trình sản xuất tốt (GAP) hoặc tương đương thu được nhân với giá </w:t>
      </w:r>
      <w:r w:rsidR="009E10CA" w:rsidRPr="006545AD">
        <w:rPr>
          <w:rFonts w:ascii="Times New Roman" w:eastAsia="Times New Roman" w:hAnsi="Times New Roman" w:cs="Times New Roman"/>
          <w:sz w:val="28"/>
          <w:szCs w:val="28"/>
        </w:rPr>
        <w:t xml:space="preserve">bán </w:t>
      </w:r>
      <w:r w:rsidRPr="006545AD">
        <w:rPr>
          <w:rFonts w:ascii="Times New Roman" w:eastAsia="Times New Roman" w:hAnsi="Times New Roman" w:cs="Times New Roman"/>
          <w:sz w:val="28"/>
          <w:szCs w:val="28"/>
        </w:rPr>
        <w:t>bình quân của người sản xuất (giá hiện hành).</w:t>
      </w:r>
    </w:p>
    <w:p w14:paraId="65C3AD3A" w14:textId="0EA80C8A" w:rsidR="003C717E" w:rsidRPr="006545AD" w:rsidRDefault="00D473D2" w:rsidP="005725BC">
      <w:pPr>
        <w:spacing w:before="60" w:after="60" w:line="360" w:lineRule="exact"/>
        <w:ind w:firstLine="720"/>
        <w:jc w:val="both"/>
        <w:rPr>
          <w:rFonts w:ascii="Times New Roman" w:eastAsia="Times New Roman" w:hAnsi="Times New Roman" w:cs="Times New Roman"/>
          <w:sz w:val="28"/>
          <w:szCs w:val="28"/>
          <w:lang w:val="vi-VN"/>
        </w:rPr>
      </w:pPr>
      <w:r w:rsidRPr="006545AD">
        <w:rPr>
          <w:rFonts w:ascii="Times New Roman" w:eastAsia="Times New Roman" w:hAnsi="Times New Roman" w:cs="Times New Roman"/>
          <w:sz w:val="28"/>
          <w:szCs w:val="28"/>
        </w:rPr>
        <w:t xml:space="preserve">- </w:t>
      </w:r>
      <w:r w:rsidR="006E7C70" w:rsidRPr="006545AD">
        <w:rPr>
          <w:rFonts w:ascii="Times New Roman" w:eastAsia="Times New Roman" w:hAnsi="Times New Roman" w:cs="Times New Roman"/>
          <w:sz w:val="28"/>
          <w:szCs w:val="28"/>
        </w:rPr>
        <w:t xml:space="preserve">Tỷ lệ giá trị sản phẩm nông nghiệp được sản xuất theo quy trình sản xuất tốt </w:t>
      </w:r>
      <w:r w:rsidR="009E10CA" w:rsidRPr="006545AD">
        <w:rPr>
          <w:rFonts w:ascii="Times New Roman" w:eastAsia="Times New Roman" w:hAnsi="Times New Roman" w:cs="Times New Roman"/>
          <w:sz w:val="28"/>
          <w:szCs w:val="28"/>
        </w:rPr>
        <w:t xml:space="preserve">được tính cho sản phẩm thuộc ngành trồng trọt và chăn nuôi; </w:t>
      </w:r>
      <w:r w:rsidR="006E7C70" w:rsidRPr="006545AD">
        <w:rPr>
          <w:rFonts w:ascii="Times New Roman" w:eastAsia="Times New Roman" w:hAnsi="Times New Roman" w:cs="Times New Roman"/>
          <w:sz w:val="28"/>
          <w:szCs w:val="28"/>
        </w:rPr>
        <w:t>có thể được tính riêng cho một số sản phẩm chủ lực đại diện</w:t>
      </w:r>
      <w:r w:rsidR="00BB5D6D" w:rsidRPr="006545AD">
        <w:rPr>
          <w:rFonts w:ascii="Times New Roman" w:eastAsia="Times New Roman" w:hAnsi="Times New Roman" w:cs="Times New Roman"/>
          <w:sz w:val="28"/>
          <w:szCs w:val="28"/>
          <w:lang w:val="vi-VN"/>
        </w:rPr>
        <w:t>:</w:t>
      </w:r>
    </w:p>
    <w:p w14:paraId="1ED9784B" w14:textId="77777777" w:rsidR="003C717E" w:rsidRPr="006545AD" w:rsidRDefault="006E7C70" w:rsidP="005725BC">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pacing w:val="-4"/>
          <w:sz w:val="28"/>
          <w:szCs w:val="28"/>
        </w:rPr>
        <w:t>+ Ngành trồng trọt: lúa, cây hàng năm, cây ăn quả, cây công nghiệp lâu năm,...</w:t>
      </w:r>
    </w:p>
    <w:p w14:paraId="4FEE8613" w14:textId="75071258" w:rsidR="00F408D5" w:rsidRPr="006545AD" w:rsidRDefault="006E7C70" w:rsidP="005725BC">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Ngành chăn nuôi: bò, lợn, gà,...</w:t>
      </w:r>
    </w:p>
    <w:p w14:paraId="0C9A6E4F" w14:textId="77777777" w:rsidR="00F408D5" w:rsidRPr="006545AD" w:rsidRDefault="00D473D2"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Lưu ý: Nếu sản phẩm nông nghiệp được làm ra dưới nhiều hình thức sản xuất tốt (GAP) hoặc tương đương thì giá trị sản phẩm cũng chỉ được tính một lần, không được tính bằng tổng giá trị các hình thức sản xuất tốt hoặc tương đương.</w:t>
      </w:r>
    </w:p>
    <w:p w14:paraId="1B86734A" w14:textId="77777777" w:rsidR="00F408D5" w:rsidRPr="006545AD" w:rsidRDefault="00224DB4"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2. Phân tổ chủ yếu</w:t>
      </w:r>
    </w:p>
    <w:p w14:paraId="1001A644" w14:textId="2B57B7B3" w:rsidR="00984868" w:rsidRPr="006545AD" w:rsidRDefault="00224DB4"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Nhóm sản phẩm</w:t>
      </w:r>
      <w:r w:rsidR="001040E6" w:rsidRPr="006545AD">
        <w:rPr>
          <w:rFonts w:ascii="Times New Roman" w:eastAsia="Times New Roman" w:hAnsi="Times New Roman" w:cs="Times New Roman"/>
          <w:sz w:val="28"/>
          <w:szCs w:val="28"/>
          <w:lang w:val="vi-VN"/>
        </w:rPr>
        <w:t>/sản phẩm</w:t>
      </w:r>
      <w:r w:rsidR="006E7C70" w:rsidRPr="006545AD">
        <w:rPr>
          <w:rFonts w:ascii="Times New Roman" w:eastAsia="Times New Roman" w:hAnsi="Times New Roman" w:cs="Times New Roman"/>
          <w:sz w:val="28"/>
          <w:szCs w:val="28"/>
        </w:rPr>
        <w:t>;</w:t>
      </w:r>
    </w:p>
    <w:p w14:paraId="2A544403" w14:textId="77777777" w:rsidR="00F408D5" w:rsidRPr="006545AD" w:rsidRDefault="006E7C70" w:rsidP="00984868">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thành phố trực thuộc </w:t>
      </w:r>
      <w:r w:rsidR="0063652A" w:rsidRPr="006545AD">
        <w:rPr>
          <w:rFonts w:ascii="Times New Roman" w:eastAsia="Times New Roman" w:hAnsi="Times New Roman" w:cs="Times New Roman"/>
          <w:sz w:val="28"/>
          <w:szCs w:val="28"/>
          <w:lang w:val="en-US"/>
        </w:rPr>
        <w:t>Trung ương</w:t>
      </w:r>
      <w:r w:rsidR="003C717E" w:rsidRPr="006545AD">
        <w:rPr>
          <w:rFonts w:ascii="Times New Roman" w:eastAsia="Times New Roman" w:hAnsi="Times New Roman" w:cs="Times New Roman"/>
          <w:sz w:val="28"/>
          <w:szCs w:val="28"/>
        </w:rPr>
        <w:t>.</w:t>
      </w:r>
    </w:p>
    <w:p w14:paraId="7DC2019A" w14:textId="3C281200" w:rsidR="00F408D5" w:rsidRPr="006545AD" w:rsidRDefault="00224DB4"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 xml:space="preserve">3. Kỳ công bố: </w:t>
      </w:r>
      <w:r w:rsidR="009E10CA" w:rsidRPr="006545AD">
        <w:rPr>
          <w:rFonts w:ascii="Times New Roman" w:eastAsia="Times New Roman" w:hAnsi="Times New Roman" w:cs="Times New Roman"/>
          <w:sz w:val="28"/>
          <w:szCs w:val="28"/>
        </w:rPr>
        <w:t>5</w:t>
      </w:r>
      <w:r w:rsidR="009E10CA"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sz w:val="28"/>
          <w:szCs w:val="28"/>
        </w:rPr>
        <w:t>Năm</w:t>
      </w:r>
      <w:r w:rsidR="003C717E" w:rsidRPr="006545AD">
        <w:rPr>
          <w:rFonts w:ascii="Times New Roman" w:eastAsia="Times New Roman" w:hAnsi="Times New Roman" w:cs="Times New Roman"/>
          <w:sz w:val="28"/>
          <w:szCs w:val="28"/>
        </w:rPr>
        <w:t>.</w:t>
      </w:r>
    </w:p>
    <w:p w14:paraId="16C45AF9" w14:textId="77777777" w:rsidR="00F408D5" w:rsidRPr="006545AD" w:rsidRDefault="00224DB4"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 xml:space="preserve">4. Nguồn số liệu: </w:t>
      </w:r>
    </w:p>
    <w:p w14:paraId="6A5649BA" w14:textId="2D808E21" w:rsidR="009E10CA" w:rsidRPr="006545AD" w:rsidRDefault="009E10CA"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Pr="006545AD">
        <w:rPr>
          <w:rFonts w:ascii="Times New Roman" w:eastAsia="Times New Roman" w:hAnsi="Times New Roman" w:cs="Times New Roman"/>
          <w:sz w:val="28"/>
          <w:szCs w:val="28"/>
        </w:rPr>
        <w:t>- Điều tra thống kê;</w:t>
      </w:r>
    </w:p>
    <w:p w14:paraId="658CE1F1" w14:textId="5F2F2012" w:rsidR="00F408D5" w:rsidRPr="006545AD" w:rsidRDefault="00224DB4"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Chế độ báo cáo thống kê </w:t>
      </w:r>
      <w:r w:rsidR="000E18F2" w:rsidRPr="006545AD">
        <w:rPr>
          <w:rFonts w:ascii="Times New Roman" w:eastAsia="Times New Roman" w:hAnsi="Times New Roman" w:cs="Times New Roman"/>
          <w:sz w:val="28"/>
          <w:szCs w:val="28"/>
        </w:rPr>
        <w:t>ngành nông nghiệp và phát triển nông thôn</w:t>
      </w:r>
      <w:r w:rsidR="000E18F2" w:rsidRPr="006545AD" w:rsidDel="000E18F2">
        <w:rPr>
          <w:rFonts w:ascii="Times New Roman" w:eastAsia="Times New Roman" w:hAnsi="Times New Roman" w:cs="Times New Roman"/>
          <w:sz w:val="28"/>
          <w:szCs w:val="28"/>
        </w:rPr>
        <w:t xml:space="preserve"> </w:t>
      </w:r>
      <w:r w:rsidR="009E10CA" w:rsidRPr="006545AD">
        <w:rPr>
          <w:rFonts w:ascii="Times New Roman" w:eastAsia="Times New Roman" w:hAnsi="Times New Roman" w:cs="Times New Roman"/>
          <w:sz w:val="28"/>
          <w:szCs w:val="28"/>
        </w:rPr>
        <w:t>.</w:t>
      </w:r>
    </w:p>
    <w:p w14:paraId="68C4CF36" w14:textId="77777777" w:rsidR="00F408D5" w:rsidRPr="006545AD" w:rsidRDefault="00224DB4"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5. Cơ quan chịu trách nhiệm thu thập, tổng hợp:</w:t>
      </w:r>
    </w:p>
    <w:p w14:paraId="614E43B3" w14:textId="2DEE4EC6" w:rsidR="00984868" w:rsidRPr="006545AD" w:rsidRDefault="00224DB4"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Chủ trì: </w:t>
      </w:r>
      <w:r w:rsidR="00D96666" w:rsidRPr="006545AD">
        <w:rPr>
          <w:rFonts w:ascii="Times New Roman" w:eastAsia="Times New Roman" w:hAnsi="Times New Roman" w:cs="Times New Roman"/>
          <w:sz w:val="28"/>
          <w:szCs w:val="28"/>
        </w:rPr>
        <w:t>Bộ Kế hoạch và Đầu tư (Tổng cục Thống kê)</w:t>
      </w:r>
      <w:r w:rsidR="00C70840" w:rsidRPr="006545AD">
        <w:rPr>
          <w:rFonts w:ascii="Times New Roman" w:eastAsia="Times New Roman" w:hAnsi="Times New Roman" w:cs="Times New Roman"/>
          <w:sz w:val="28"/>
          <w:szCs w:val="28"/>
        </w:rPr>
        <w:t>;</w:t>
      </w:r>
    </w:p>
    <w:p w14:paraId="732B385A" w14:textId="77777777" w:rsidR="00210E81" w:rsidRPr="006545AD" w:rsidRDefault="006E7C70" w:rsidP="00984868">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Phối hợp: </w:t>
      </w:r>
      <w:r w:rsidR="00D96666" w:rsidRPr="006545AD">
        <w:rPr>
          <w:rFonts w:ascii="Times New Roman" w:eastAsia="Times New Roman" w:hAnsi="Times New Roman" w:cs="Times New Roman"/>
          <w:sz w:val="28"/>
          <w:szCs w:val="28"/>
        </w:rPr>
        <w:t xml:space="preserve">Bộ Nông nghiệp và Phát triển nông thôn. </w:t>
      </w:r>
    </w:p>
    <w:p w14:paraId="798B3007" w14:textId="23E47649" w:rsidR="008A69D5" w:rsidRPr="006545AD" w:rsidRDefault="008A69D5" w:rsidP="008A69D5">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2.21</w:t>
      </w:r>
      <w:r w:rsidRPr="006545AD">
        <w:rPr>
          <w:rFonts w:ascii="Times New Roman" w:eastAsia="Times New Roman" w:hAnsi="Times New Roman" w:cs="Times New Roman"/>
          <w:b/>
          <w:sz w:val="28"/>
          <w:szCs w:val="28"/>
        </w:rPr>
        <w:t>. Tỷ lệ cơ sở sản xuất chăn nuôi lợn trên địa bàn xử lý chất thải bằng biogas hoặc các giải pháp công nghệ xử lý, sử dụng hiệu quả, sạch</w:t>
      </w:r>
    </w:p>
    <w:p w14:paraId="6BBE7088" w14:textId="77777777" w:rsidR="008A69D5" w:rsidRPr="006545AD" w:rsidRDefault="008A69D5" w:rsidP="008A69D5">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03EFF225" w14:textId="77777777" w:rsidR="008A69D5" w:rsidRPr="006545AD" w:rsidRDefault="008A69D5" w:rsidP="008A69D5">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Tỷ lệ cơ sở sản xuất chăn nuôi lợn trên địa bàn xử lý chất thải bằng biogas hoặc các giải pháp công nghệ xử lý, sử dụng hiệu quả, sạch là tỷ lệ phần trăm giữa số lượng các cơ sở sản xuất chăn nuôi lợn có xử lý chất thải bằng biogas (khí sinh học) hoặc công nghệ xử lý, sử dụng hiệu quả, sạch trong tổng số các cơ sở chăn nuôi lợn trên địa bàn tại thời điểm báo cáo.</w:t>
      </w:r>
    </w:p>
    <w:p w14:paraId="272915BD" w14:textId="77777777" w:rsidR="008A69D5" w:rsidRPr="006545AD" w:rsidRDefault="008A69D5" w:rsidP="008A69D5">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Cơ sở sản xuất chăn nuôi là nơi diễn ra các hoạt động chăn nuôi gia súc gia cầm có địa điểm cố định; được cơ quan quản lý nhà nước có thẩm quyền cấp phép theo quy định (đối với trường hợp phải đăng ký theo quy định).</w:t>
      </w:r>
    </w:p>
    <w:p w14:paraId="6E33B226" w14:textId="77777777" w:rsidR="008A69D5" w:rsidRPr="006545AD" w:rsidRDefault="008A69D5" w:rsidP="008A69D5">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Chỉ tính cơ sở sản xuất chăn nuôi lợn từ quy mô gia trại trở lên. Hộ gia trại là hộ chăn nuôi chưa đạt tiêu chí trang trại song có nuôi thường xuyên từ 30 con lợn trở lên. Trong một số trường hợp nếu do một số yếu tố bất thường (dịch bệnh…) phải trống chuồng từ 1 - 3 tháng vẫn coi là nuôi thường xuyên.</w:t>
      </w:r>
    </w:p>
    <w:p w14:paraId="50464860" w14:textId="77777777" w:rsidR="008A69D5" w:rsidRPr="006545AD" w:rsidRDefault="008A69D5" w:rsidP="008A69D5">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Các biện pháp/giải pháp công nghệ xử lý chất thải chăn nuôi hiệu quả, sạch bao gồm nhưng không giới hạn:</w:t>
      </w:r>
    </w:p>
    <w:p w14:paraId="33536C5C"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 Công trình khí sinh học quy mô nhỏ KT1-KT2;</w:t>
      </w:r>
    </w:p>
    <w:p w14:paraId="2270C4F7"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trình khí sinh học quy mô nhỏ bằng vật liệu composite;</w:t>
      </w:r>
    </w:p>
    <w:p w14:paraId="5B40EC67"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khí sinh học quy mô nhỏ bằng vật liệu túi nilon;</w:t>
      </w:r>
    </w:p>
    <w:p w14:paraId="64BA1FDB"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trình khí sinh học phủ bạt quy mô vừa-lớn và máy phát điện;</w:t>
      </w:r>
    </w:p>
    <w:p w14:paraId="5364F8BD"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đệm lót sinh học cho nông hộ và quy mô trang trại;</w:t>
      </w:r>
    </w:p>
    <w:p w14:paraId="63A73EE1"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Nuôi trùn quế làm thức ăn chăn nuôi và phân vi sinh tại nông hộ và quy mô trang trại;</w:t>
      </w:r>
    </w:p>
    <w:p w14:paraId="22241DE0"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máy ép phân trục vít cho quy mô trang trại;</w:t>
      </w:r>
    </w:p>
    <w:p w14:paraId="5E9ACF93"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ủ phân compost-sản xuất phân vi sinh;</w:t>
      </w:r>
    </w:p>
    <w:p w14:paraId="741A12E4"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bể lắng-sản xuất phân vi sinh quy mô trang trại;</w:t>
      </w:r>
    </w:p>
    <w:p w14:paraId="2753A286" w14:textId="77777777" w:rsidR="008A69D5" w:rsidRPr="006545AD" w:rsidRDefault="008A69D5" w:rsidP="008A69D5">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SAIBON quy mô vừa và lớn.</w:t>
      </w:r>
    </w:p>
    <w:p w14:paraId="4E8EC585" w14:textId="77777777" w:rsidR="008A69D5" w:rsidRPr="006545AD" w:rsidRDefault="008A69D5" w:rsidP="008A69D5">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ab/>
        <w:t>Công thức tính:</w:t>
      </w:r>
    </w:p>
    <w:tbl>
      <w:tblPr>
        <w:tblStyle w:val="TableGrid"/>
        <w:tblW w:w="5213" w:type="pct"/>
        <w:jc w:val="center"/>
        <w:tblLook w:val="04A0" w:firstRow="1" w:lastRow="0" w:firstColumn="1" w:lastColumn="0" w:noHBand="0" w:noVBand="1"/>
      </w:tblPr>
      <w:tblGrid>
        <w:gridCol w:w="3119"/>
        <w:gridCol w:w="424"/>
        <w:gridCol w:w="5024"/>
        <w:gridCol w:w="891"/>
      </w:tblGrid>
      <w:tr w:rsidR="008A69D5" w:rsidRPr="006545AD" w14:paraId="3238CFE1" w14:textId="77777777" w:rsidTr="005725BC">
        <w:trPr>
          <w:trHeight w:val="512"/>
          <w:jc w:val="center"/>
        </w:trPr>
        <w:tc>
          <w:tcPr>
            <w:tcW w:w="1649" w:type="pct"/>
            <w:vMerge w:val="restart"/>
            <w:tcBorders>
              <w:top w:val="nil"/>
              <w:left w:val="nil"/>
              <w:bottom w:val="nil"/>
              <w:right w:val="nil"/>
            </w:tcBorders>
            <w:vAlign w:val="center"/>
          </w:tcPr>
          <w:p w14:paraId="563C6D29" w14:textId="2A50BB8D" w:rsidR="008A69D5" w:rsidRPr="006545AD" w:rsidRDefault="008A69D5"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cơ sở sản xuất chăn nuôi lợn trên địa bàn xử lý chất thải bằng biogas hoặc các giải pháp công nghệ xử lý, sử dụng hiệu quả, sạch (%)</w:t>
            </w:r>
          </w:p>
        </w:tc>
        <w:tc>
          <w:tcPr>
            <w:tcW w:w="224" w:type="pct"/>
            <w:vMerge w:val="restart"/>
            <w:tcBorders>
              <w:top w:val="nil"/>
              <w:left w:val="nil"/>
              <w:bottom w:val="nil"/>
              <w:right w:val="nil"/>
            </w:tcBorders>
            <w:vAlign w:val="center"/>
          </w:tcPr>
          <w:p w14:paraId="6734A2AC" w14:textId="77777777" w:rsidR="008A69D5" w:rsidRPr="006545AD" w:rsidRDefault="008A69D5" w:rsidP="00350DB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656" w:type="pct"/>
            <w:tcBorders>
              <w:top w:val="nil"/>
              <w:left w:val="nil"/>
              <w:bottom w:val="single" w:sz="4" w:space="0" w:color="auto"/>
              <w:right w:val="nil"/>
            </w:tcBorders>
            <w:vAlign w:val="center"/>
          </w:tcPr>
          <w:p w14:paraId="69518616" w14:textId="77777777" w:rsidR="008A69D5" w:rsidRPr="006545AD" w:rsidRDefault="008A69D5"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lượng cơ sở sản xuất chăn nuôi lợn trên địa bàn xử lý chất thải bằng biogas hoặc các giải pháp công nghệ xử lý, sử dụng hiệu quả, sạch</w:t>
            </w:r>
          </w:p>
        </w:tc>
        <w:tc>
          <w:tcPr>
            <w:tcW w:w="471" w:type="pct"/>
            <w:vMerge w:val="restart"/>
            <w:tcBorders>
              <w:top w:val="nil"/>
              <w:left w:val="nil"/>
              <w:bottom w:val="nil"/>
              <w:right w:val="nil"/>
            </w:tcBorders>
            <w:vAlign w:val="center"/>
          </w:tcPr>
          <w:p w14:paraId="7791DF84" w14:textId="7637DDD8" w:rsidR="008A69D5" w:rsidRPr="006545AD" w:rsidRDefault="00A339A7" w:rsidP="00350DB3">
            <w:pPr>
              <w:spacing w:before="60" w:after="60" w:line="360" w:lineRule="exact"/>
              <w:jc w:val="both"/>
              <w:rPr>
                <w:rFonts w:ascii="Times New Roman" w:eastAsia="Times New Roman" w:hAnsi="Times New Roman" w:cs="Times New Roman"/>
                <w:sz w:val="28"/>
                <w:szCs w:val="28"/>
              </w:rPr>
            </w:pPr>
            <w:r w:rsidRPr="006545AD">
              <w:rPr>
                <w:sz w:val="26"/>
                <w:szCs w:val="26"/>
              </w:rPr>
              <w:t>×</w:t>
            </w:r>
            <w:r w:rsidR="008A69D5" w:rsidRPr="006545AD">
              <w:rPr>
                <w:rFonts w:ascii="Times New Roman" w:eastAsia="Times New Roman" w:hAnsi="Times New Roman" w:cs="Times New Roman"/>
                <w:sz w:val="28"/>
                <w:szCs w:val="28"/>
              </w:rPr>
              <w:t xml:space="preserve"> 100</w:t>
            </w:r>
          </w:p>
        </w:tc>
      </w:tr>
      <w:tr w:rsidR="008A69D5" w:rsidRPr="006545AD" w14:paraId="2CBD8EE2" w14:textId="77777777" w:rsidTr="005725BC">
        <w:trPr>
          <w:trHeight w:val="1456"/>
          <w:jc w:val="center"/>
        </w:trPr>
        <w:tc>
          <w:tcPr>
            <w:tcW w:w="1649" w:type="pct"/>
            <w:vMerge/>
            <w:tcBorders>
              <w:top w:val="nil"/>
              <w:left w:val="nil"/>
              <w:bottom w:val="nil"/>
              <w:right w:val="nil"/>
            </w:tcBorders>
            <w:vAlign w:val="center"/>
          </w:tcPr>
          <w:p w14:paraId="488BA735" w14:textId="77777777" w:rsidR="008A69D5" w:rsidRPr="006545AD" w:rsidRDefault="008A69D5" w:rsidP="00350DB3">
            <w:pPr>
              <w:spacing w:before="60" w:after="60" w:line="360" w:lineRule="exact"/>
              <w:jc w:val="both"/>
              <w:rPr>
                <w:rFonts w:ascii="Times New Roman" w:eastAsia="Times New Roman" w:hAnsi="Times New Roman" w:cs="Times New Roman"/>
                <w:sz w:val="28"/>
                <w:szCs w:val="28"/>
              </w:rPr>
            </w:pPr>
          </w:p>
        </w:tc>
        <w:tc>
          <w:tcPr>
            <w:tcW w:w="224" w:type="pct"/>
            <w:vMerge/>
            <w:tcBorders>
              <w:top w:val="nil"/>
              <w:left w:val="nil"/>
              <w:bottom w:val="nil"/>
              <w:right w:val="nil"/>
            </w:tcBorders>
            <w:vAlign w:val="center"/>
          </w:tcPr>
          <w:p w14:paraId="309A6622" w14:textId="77777777" w:rsidR="008A69D5" w:rsidRPr="006545AD" w:rsidRDefault="008A69D5" w:rsidP="00350DB3">
            <w:pPr>
              <w:spacing w:before="60" w:after="60" w:line="360" w:lineRule="exact"/>
              <w:jc w:val="both"/>
              <w:rPr>
                <w:rFonts w:ascii="Times New Roman" w:eastAsia="Times New Roman" w:hAnsi="Times New Roman" w:cs="Times New Roman"/>
                <w:sz w:val="28"/>
                <w:szCs w:val="28"/>
              </w:rPr>
            </w:pPr>
          </w:p>
        </w:tc>
        <w:tc>
          <w:tcPr>
            <w:tcW w:w="2656" w:type="pct"/>
            <w:tcBorders>
              <w:top w:val="single" w:sz="4" w:space="0" w:color="auto"/>
              <w:left w:val="nil"/>
              <w:bottom w:val="nil"/>
              <w:right w:val="nil"/>
            </w:tcBorders>
            <w:vAlign w:val="center"/>
          </w:tcPr>
          <w:p w14:paraId="2E4D03F0" w14:textId="77777777" w:rsidR="008A69D5" w:rsidRPr="006545AD" w:rsidRDefault="008A69D5"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số cơ sở sản xuất chăn nuôi lợn trên địa bàn</w:t>
            </w:r>
          </w:p>
        </w:tc>
        <w:tc>
          <w:tcPr>
            <w:tcW w:w="471" w:type="pct"/>
            <w:vMerge/>
            <w:tcBorders>
              <w:top w:val="nil"/>
              <w:left w:val="nil"/>
              <w:bottom w:val="nil"/>
              <w:right w:val="nil"/>
            </w:tcBorders>
            <w:vAlign w:val="center"/>
          </w:tcPr>
          <w:p w14:paraId="5B9CE301" w14:textId="77777777" w:rsidR="008A69D5" w:rsidRPr="006545AD" w:rsidRDefault="008A69D5" w:rsidP="00350DB3">
            <w:pPr>
              <w:spacing w:before="60" w:after="60" w:line="360" w:lineRule="exact"/>
              <w:jc w:val="both"/>
              <w:rPr>
                <w:rFonts w:ascii="Times New Roman" w:eastAsia="Times New Roman" w:hAnsi="Times New Roman" w:cs="Times New Roman"/>
                <w:sz w:val="28"/>
                <w:szCs w:val="28"/>
              </w:rPr>
            </w:pPr>
          </w:p>
        </w:tc>
      </w:tr>
    </w:tbl>
    <w:p w14:paraId="7F1F2EB1" w14:textId="77777777" w:rsidR="008A69D5" w:rsidRPr="006545AD" w:rsidRDefault="008A69D5" w:rsidP="008A69D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A4F3E26"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giải pháp;</w:t>
      </w:r>
    </w:p>
    <w:p w14:paraId="7D102FC3"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7105449F"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5 Năm.</w:t>
      </w:r>
    </w:p>
    <w:p w14:paraId="72268078" w14:textId="77777777" w:rsidR="008A69D5" w:rsidRPr="006545AD" w:rsidRDefault="008A69D5" w:rsidP="008A69D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4A1B6D69"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19412BB0"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ngành nông nghiệp và phát triển nông thôn.</w:t>
      </w:r>
    </w:p>
    <w:p w14:paraId="3888F77C" w14:textId="2404257C" w:rsidR="008A69D5" w:rsidRPr="006545AD" w:rsidRDefault="008A69D5" w:rsidP="009B7606">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5. Cơ quan chịu trách nhiệm thu thập, tổng hợp:</w:t>
      </w:r>
      <w:r w:rsidRPr="006545AD">
        <w:rPr>
          <w:rFonts w:ascii="Times New Roman" w:eastAsia="Times New Roman" w:hAnsi="Times New Roman" w:cs="Times New Roman"/>
          <w:sz w:val="28"/>
          <w:szCs w:val="28"/>
        </w:rPr>
        <w:t xml:space="preserve"> Bộ Nông nghiệp và Phát triển nông thôn.</w:t>
      </w:r>
    </w:p>
    <w:p w14:paraId="571B3391" w14:textId="6B750C60" w:rsidR="00210E81" w:rsidRPr="006545AD" w:rsidRDefault="00210E81" w:rsidP="005725BC">
      <w:pPr>
        <w:spacing w:before="12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I</w:t>
      </w:r>
      <w:r w:rsidR="000113A9" w:rsidRPr="006545AD">
        <w:rPr>
          <w:rFonts w:ascii="Times New Roman" w:eastAsia="Times New Roman" w:hAnsi="Times New Roman" w:cs="Times New Roman"/>
          <w:b/>
          <w:sz w:val="28"/>
          <w:szCs w:val="28"/>
          <w:lang w:val="vi-VN"/>
        </w:rPr>
        <w:t>V</w:t>
      </w:r>
      <w:r w:rsidRPr="006545AD">
        <w:rPr>
          <w:rFonts w:ascii="Times New Roman" w:eastAsia="Times New Roman" w:hAnsi="Times New Roman" w:cs="Times New Roman"/>
          <w:b/>
          <w:sz w:val="28"/>
          <w:szCs w:val="28"/>
        </w:rPr>
        <w:t xml:space="preserve">. Lĩnh vực thương mại </w:t>
      </w:r>
      <w:r w:rsidR="000113A9" w:rsidRPr="006545AD">
        <w:rPr>
          <w:rFonts w:ascii="Times New Roman" w:eastAsia="Times New Roman" w:hAnsi="Times New Roman" w:cs="Times New Roman"/>
          <w:b/>
          <w:sz w:val="28"/>
          <w:szCs w:val="28"/>
          <w:lang w:val="vi-VN"/>
        </w:rPr>
        <w:t>-</w:t>
      </w:r>
      <w:r w:rsidR="000113A9"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b/>
          <w:sz w:val="28"/>
          <w:szCs w:val="28"/>
        </w:rPr>
        <w:t xml:space="preserve">dịch vụ </w:t>
      </w:r>
    </w:p>
    <w:p w14:paraId="7BCE77B8" w14:textId="20C9A68F" w:rsidR="00210E81" w:rsidRPr="006545AD" w:rsidRDefault="00210E81" w:rsidP="00210E81">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2.22</w:t>
      </w:r>
      <w:r w:rsidRPr="006545AD">
        <w:rPr>
          <w:rFonts w:ascii="Times New Roman" w:eastAsia="Times New Roman" w:hAnsi="Times New Roman" w:cs="Times New Roman"/>
          <w:b/>
          <w:sz w:val="28"/>
          <w:szCs w:val="28"/>
        </w:rPr>
        <w:t>. Tỷ lệ đóng góp của hoạt động du lịch trong GDP</w:t>
      </w:r>
    </w:p>
    <w:p w14:paraId="3AD3B732" w14:textId="77777777" w:rsidR="00210E81" w:rsidRPr="006545AD" w:rsidRDefault="00210E81" w:rsidP="00210E81">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6727BBA0" w14:textId="77777777" w:rsidR="00210E81" w:rsidRPr="006545AD" w:rsidRDefault="00210E81" w:rsidP="00210E81">
      <w:pPr>
        <w:spacing w:before="60" w:after="60" w:line="360" w:lineRule="exact"/>
        <w:ind w:firstLine="85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Tỷ lệ đóng góp của hoạt động du lịch trong GDP được tính bằng giá trị tăng thêm của hoạt động du lịch so với GDP theo giá hiện hành. Trong đó giá trị tăng thêm của hoạt động du lịch được tạo ra bởi tất cả các ngành để đáp ứng tiêu </w:t>
      </w:r>
      <w:r w:rsidRPr="006545AD">
        <w:rPr>
          <w:rFonts w:ascii="Times New Roman" w:eastAsia="Times New Roman" w:hAnsi="Times New Roman" w:cs="Times New Roman"/>
          <w:sz w:val="28"/>
          <w:szCs w:val="28"/>
        </w:rPr>
        <w:lastRenderedPageBreak/>
        <w:t>dùng du lịch của khách du lịch nội địa và khách du lịch quốc tế trên lãnh thổ Việt Nam trong khoảng thời gian đi du lịch.</w:t>
      </w:r>
    </w:p>
    <w:p w14:paraId="7A55C762" w14:textId="77777777" w:rsidR="00210E81" w:rsidRPr="006545AD" w:rsidRDefault="00210E81" w:rsidP="00210E81">
      <w:pPr>
        <w:spacing w:before="60" w:after="60" w:line="360" w:lineRule="exact"/>
        <w:ind w:firstLine="85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Khách du lịch nội địa là công dân Việt Nam, người nước ngoài thường trú tại Việt Nam đi du lịch trong phạm vi lãnh thổ Việt Nam.</w:t>
      </w:r>
    </w:p>
    <w:p w14:paraId="47CEE7C6" w14:textId="77777777" w:rsidR="00210E81" w:rsidRPr="006545AD" w:rsidRDefault="00210E81" w:rsidP="00210E81">
      <w:pPr>
        <w:spacing w:before="60" w:after="60" w:line="360" w:lineRule="exact"/>
        <w:ind w:firstLine="85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Khách du lịch quốc tế đến Việt Nam là công dân không phải là người thường trú tại Việt Nam - đất nước mà họ cư trú thường xuyên trong khoảng thời gian ít hơn 1 năm liên tục và mục đích của chuyến đi không phải là để thực hiện các hoạt động kiếm tiền.</w:t>
      </w:r>
    </w:p>
    <w:p w14:paraId="42595E42" w14:textId="632C793B" w:rsidR="00210E81" w:rsidRPr="006545AD" w:rsidRDefault="00210E81" w:rsidP="00210E81">
      <w:pPr>
        <w:spacing w:before="60" w:after="60" w:line="360" w:lineRule="exact"/>
        <w:ind w:firstLine="85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Phân ngành kinh tế của hoạt động du lịch </w:t>
      </w:r>
      <w:r w:rsidR="001018C5" w:rsidRPr="006545AD">
        <w:rPr>
          <w:rFonts w:ascii="Times New Roman" w:eastAsia="Times New Roman" w:hAnsi="Times New Roman" w:cs="Times New Roman"/>
          <w:sz w:val="28"/>
          <w:szCs w:val="28"/>
        </w:rPr>
        <w:t xml:space="preserve">bao gồm </w:t>
      </w:r>
      <w:r w:rsidRPr="006545AD">
        <w:rPr>
          <w:rFonts w:ascii="Times New Roman" w:eastAsia="Times New Roman" w:hAnsi="Times New Roman" w:cs="Times New Roman"/>
          <w:sz w:val="28"/>
          <w:szCs w:val="28"/>
        </w:rPr>
        <w:t>lưu trú, ăn uống, vận tải, ngành bán lẻ, dịch vụ khác (y tế, vui chơi giải trí, bảo hiểm,..).</w:t>
      </w:r>
    </w:p>
    <w:p w14:paraId="7981E802" w14:textId="77777777" w:rsidR="00210E81" w:rsidRPr="006545AD" w:rsidRDefault="00210E81" w:rsidP="00210E81">
      <w:pPr>
        <w:spacing w:before="60" w:after="60" w:line="360" w:lineRule="exact"/>
        <w:ind w:firstLine="85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Phân tổ tỷ lệ đóng góp của hoạt động du lịch xanh trong GDP được tính tương tự như tỷ lệ đóng góp của hoạt động du lịch trong GDP. Từ số liệu giá trị tăng thêm của hoạt động du lịch phân theo ngành dịch vụ lữ hành, lưu trú, ăn uống, vận tải, thương mại và các ngành dịch vụ khác, kết hợp với các chỉ tiêu như tỷ lệ các cơ sở dán nhãn xanh và tỷ lệ phương tiện sử dụng điện hoặc năng lượng xanh được các cơ quan chức năng thực hiện và báo cáo sẽ tính toán được phân tổ tỷ lệ giá trị tăng thêm xanh của hoạt động du lịch.</w:t>
      </w:r>
    </w:p>
    <w:p w14:paraId="07AE935C" w14:textId="6C52E4EF" w:rsidR="00210E81" w:rsidRPr="006545AD" w:rsidRDefault="00210E81" w:rsidP="00210E81">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 </w:t>
      </w:r>
      <w:r w:rsidR="00B17E12" w:rsidRPr="006545AD">
        <w:rPr>
          <w:rFonts w:ascii="Times New Roman" w:eastAsia="Times New Roman" w:hAnsi="Times New Roman" w:cs="Times New Roman"/>
          <w:b/>
          <w:sz w:val="28"/>
          <w:szCs w:val="28"/>
        </w:rPr>
        <w:tab/>
      </w:r>
      <w:r w:rsidRPr="006545AD">
        <w:rPr>
          <w:rFonts w:ascii="Times New Roman" w:eastAsia="Times New Roman" w:hAnsi="Times New Roman" w:cs="Times New Roman"/>
          <w:sz w:val="28"/>
          <w:szCs w:val="28"/>
        </w:rPr>
        <w:t xml:space="preserve">Công thức tính: </w:t>
      </w:r>
    </w:p>
    <w:tbl>
      <w:tblPr>
        <w:tblStyle w:val="18"/>
        <w:tblW w:w="8647" w:type="dxa"/>
        <w:jc w:val="center"/>
        <w:tblBorders>
          <w:top w:val="nil"/>
          <w:left w:val="nil"/>
          <w:bottom w:val="nil"/>
          <w:right w:val="nil"/>
          <w:insideH w:val="nil"/>
          <w:insideV w:val="nil"/>
        </w:tblBorders>
        <w:tblLayout w:type="fixed"/>
        <w:tblLook w:val="0600" w:firstRow="0" w:lastRow="0" w:firstColumn="0" w:lastColumn="0" w:noHBand="1" w:noVBand="1"/>
      </w:tblPr>
      <w:tblGrid>
        <w:gridCol w:w="2993"/>
        <w:gridCol w:w="693"/>
        <w:gridCol w:w="4111"/>
        <w:gridCol w:w="850"/>
      </w:tblGrid>
      <w:tr w:rsidR="00210E81" w:rsidRPr="006545AD" w14:paraId="73FFAEE9" w14:textId="77777777" w:rsidTr="005725BC">
        <w:trPr>
          <w:trHeight w:val="317"/>
          <w:jc w:val="center"/>
        </w:trPr>
        <w:tc>
          <w:tcPr>
            <w:tcW w:w="2993" w:type="dxa"/>
            <w:vMerge w:val="restart"/>
            <w:tcBorders>
              <w:top w:val="nil"/>
              <w:left w:val="nil"/>
              <w:bottom w:val="nil"/>
              <w:right w:val="nil"/>
            </w:tcBorders>
            <w:tcMar>
              <w:top w:w="100" w:type="dxa"/>
              <w:left w:w="20" w:type="dxa"/>
              <w:bottom w:w="100" w:type="dxa"/>
              <w:right w:w="20" w:type="dxa"/>
            </w:tcMar>
            <w:vAlign w:val="center"/>
          </w:tcPr>
          <w:p w14:paraId="4F57E2FF" w14:textId="77777777" w:rsidR="00210E81" w:rsidRPr="006545AD" w:rsidRDefault="00210E81"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đóng góp của hoạt động du lịch trong GDP năm (n)</w:t>
            </w:r>
          </w:p>
        </w:tc>
        <w:tc>
          <w:tcPr>
            <w:tcW w:w="693" w:type="dxa"/>
            <w:vMerge w:val="restart"/>
            <w:tcBorders>
              <w:top w:val="nil"/>
              <w:left w:val="nil"/>
              <w:bottom w:val="nil"/>
              <w:right w:val="nil"/>
            </w:tcBorders>
            <w:tcMar>
              <w:top w:w="100" w:type="dxa"/>
              <w:left w:w="20" w:type="dxa"/>
              <w:bottom w:w="100" w:type="dxa"/>
              <w:right w:w="20" w:type="dxa"/>
            </w:tcMar>
            <w:vAlign w:val="center"/>
          </w:tcPr>
          <w:p w14:paraId="79AC41C6" w14:textId="77777777" w:rsidR="00210E81" w:rsidRPr="006545AD" w:rsidRDefault="00210E81"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111" w:type="dxa"/>
            <w:tcBorders>
              <w:top w:val="nil"/>
              <w:left w:val="nil"/>
              <w:bottom w:val="single" w:sz="8" w:space="0" w:color="000000"/>
              <w:right w:val="nil"/>
            </w:tcBorders>
            <w:tcMar>
              <w:top w:w="100" w:type="dxa"/>
              <w:left w:w="20" w:type="dxa"/>
              <w:bottom w:w="100" w:type="dxa"/>
              <w:right w:w="20" w:type="dxa"/>
            </w:tcMar>
            <w:vAlign w:val="center"/>
          </w:tcPr>
          <w:p w14:paraId="606453C5" w14:textId="77777777" w:rsidR="00210E81" w:rsidRPr="006545AD" w:rsidRDefault="00210E81"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tăng thêm (VA) của hoạt động du lịch năm (n)</w:t>
            </w:r>
          </w:p>
        </w:tc>
        <w:tc>
          <w:tcPr>
            <w:tcW w:w="850" w:type="dxa"/>
            <w:vMerge w:val="restart"/>
            <w:tcBorders>
              <w:top w:val="nil"/>
              <w:left w:val="nil"/>
              <w:bottom w:val="nil"/>
              <w:right w:val="nil"/>
            </w:tcBorders>
            <w:tcMar>
              <w:top w:w="100" w:type="dxa"/>
              <w:left w:w="20" w:type="dxa"/>
              <w:bottom w:w="100" w:type="dxa"/>
              <w:right w:w="20" w:type="dxa"/>
            </w:tcMar>
            <w:vAlign w:val="center"/>
          </w:tcPr>
          <w:p w14:paraId="03EE9CBD" w14:textId="3C33C777" w:rsidR="00210E81" w:rsidRPr="006545AD" w:rsidRDefault="00A339A7" w:rsidP="00350DB3">
            <w:pPr>
              <w:spacing w:before="60" w:after="60" w:line="360" w:lineRule="exact"/>
              <w:jc w:val="center"/>
              <w:rPr>
                <w:rFonts w:ascii="Times New Roman" w:eastAsia="Times New Roman" w:hAnsi="Times New Roman" w:cs="Times New Roman"/>
                <w:sz w:val="28"/>
                <w:szCs w:val="28"/>
              </w:rPr>
            </w:pPr>
            <w:r w:rsidRPr="006545AD">
              <w:rPr>
                <w:sz w:val="26"/>
                <w:szCs w:val="26"/>
              </w:rPr>
              <w:t>×</w:t>
            </w:r>
            <w:r w:rsidR="00210E81" w:rsidRPr="006545AD">
              <w:rPr>
                <w:rFonts w:ascii="Times New Roman" w:eastAsia="Times New Roman" w:hAnsi="Times New Roman" w:cs="Times New Roman"/>
                <w:sz w:val="28"/>
                <w:szCs w:val="28"/>
              </w:rPr>
              <w:t xml:space="preserve"> 100</w:t>
            </w:r>
          </w:p>
        </w:tc>
      </w:tr>
      <w:tr w:rsidR="00210E81" w:rsidRPr="006545AD" w14:paraId="58CEA6A2" w14:textId="77777777" w:rsidTr="005725BC">
        <w:trPr>
          <w:trHeight w:val="849"/>
          <w:jc w:val="center"/>
        </w:trPr>
        <w:tc>
          <w:tcPr>
            <w:tcW w:w="2993" w:type="dxa"/>
            <w:vMerge/>
            <w:tcBorders>
              <w:bottom w:val="nil"/>
              <w:right w:val="nil"/>
            </w:tcBorders>
            <w:shd w:val="clear" w:color="auto" w:fill="auto"/>
            <w:tcMar>
              <w:top w:w="100" w:type="dxa"/>
              <w:left w:w="100" w:type="dxa"/>
              <w:bottom w:w="100" w:type="dxa"/>
              <w:right w:w="100" w:type="dxa"/>
            </w:tcMar>
            <w:vAlign w:val="center"/>
          </w:tcPr>
          <w:p w14:paraId="32E61FF3" w14:textId="77777777" w:rsidR="00210E81" w:rsidRPr="006545AD" w:rsidRDefault="00210E81" w:rsidP="00350DB3">
            <w:pPr>
              <w:spacing w:before="60" w:after="60" w:line="360" w:lineRule="exact"/>
              <w:jc w:val="both"/>
              <w:rPr>
                <w:rFonts w:ascii="Times New Roman" w:eastAsia="Times New Roman" w:hAnsi="Times New Roman" w:cs="Times New Roman"/>
                <w:sz w:val="28"/>
                <w:szCs w:val="28"/>
              </w:rPr>
            </w:pPr>
          </w:p>
        </w:tc>
        <w:tc>
          <w:tcPr>
            <w:tcW w:w="693" w:type="dxa"/>
            <w:vMerge/>
            <w:tcBorders>
              <w:bottom w:val="nil"/>
              <w:right w:val="nil"/>
            </w:tcBorders>
            <w:shd w:val="clear" w:color="auto" w:fill="auto"/>
            <w:tcMar>
              <w:top w:w="100" w:type="dxa"/>
              <w:left w:w="100" w:type="dxa"/>
              <w:bottom w:w="100" w:type="dxa"/>
              <w:right w:w="100" w:type="dxa"/>
            </w:tcMar>
            <w:vAlign w:val="center"/>
          </w:tcPr>
          <w:p w14:paraId="41647822" w14:textId="77777777" w:rsidR="00210E81" w:rsidRPr="006545AD" w:rsidRDefault="00210E81" w:rsidP="00350DB3">
            <w:pPr>
              <w:spacing w:before="60" w:after="60" w:line="360" w:lineRule="exact"/>
              <w:jc w:val="both"/>
              <w:rPr>
                <w:rFonts w:ascii="Times New Roman" w:eastAsia="Times New Roman" w:hAnsi="Times New Roman" w:cs="Times New Roman"/>
                <w:sz w:val="28"/>
                <w:szCs w:val="28"/>
              </w:rPr>
            </w:pPr>
          </w:p>
        </w:tc>
        <w:tc>
          <w:tcPr>
            <w:tcW w:w="4111" w:type="dxa"/>
            <w:tcBorders>
              <w:top w:val="nil"/>
              <w:left w:val="nil"/>
              <w:bottom w:val="nil"/>
              <w:right w:val="nil"/>
            </w:tcBorders>
            <w:shd w:val="clear" w:color="auto" w:fill="auto"/>
            <w:tcMar>
              <w:top w:w="100" w:type="dxa"/>
              <w:left w:w="20" w:type="dxa"/>
              <w:bottom w:w="100" w:type="dxa"/>
              <w:right w:w="20" w:type="dxa"/>
            </w:tcMar>
            <w:vAlign w:val="center"/>
          </w:tcPr>
          <w:p w14:paraId="4661756F" w14:textId="77777777" w:rsidR="00210E81" w:rsidRPr="006545AD" w:rsidRDefault="00210E81"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GDP theo giá hiện hành năm (n)</w:t>
            </w:r>
          </w:p>
        </w:tc>
        <w:tc>
          <w:tcPr>
            <w:tcW w:w="850" w:type="dxa"/>
            <w:vMerge/>
            <w:tcBorders>
              <w:bottom w:val="nil"/>
              <w:right w:val="nil"/>
            </w:tcBorders>
            <w:shd w:val="clear" w:color="auto" w:fill="auto"/>
            <w:tcMar>
              <w:top w:w="100" w:type="dxa"/>
              <w:left w:w="100" w:type="dxa"/>
              <w:bottom w:w="100" w:type="dxa"/>
              <w:right w:w="100" w:type="dxa"/>
            </w:tcMar>
            <w:vAlign w:val="center"/>
          </w:tcPr>
          <w:p w14:paraId="23E30F4C" w14:textId="77777777" w:rsidR="00210E81" w:rsidRPr="006545AD" w:rsidRDefault="00210E81" w:rsidP="00350DB3">
            <w:pPr>
              <w:spacing w:before="60" w:after="60" w:line="360" w:lineRule="exact"/>
              <w:jc w:val="both"/>
              <w:rPr>
                <w:rFonts w:ascii="Times New Roman" w:eastAsia="Times New Roman" w:hAnsi="Times New Roman" w:cs="Times New Roman"/>
                <w:sz w:val="28"/>
                <w:szCs w:val="28"/>
              </w:rPr>
            </w:pPr>
          </w:p>
        </w:tc>
      </w:tr>
    </w:tbl>
    <w:p w14:paraId="0ADB6E65" w14:textId="77777777" w:rsidR="00210E81" w:rsidRPr="006545AD" w:rsidRDefault="00210E81" w:rsidP="00210E81">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F26CE7E" w14:textId="77777777" w:rsidR="00210E81" w:rsidRPr="006545AD" w:rsidRDefault="00210E81" w:rsidP="00210E81">
      <w:pPr>
        <w:spacing w:before="60" w:after="60"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Theo ngành kinh tế;</w:t>
      </w:r>
    </w:p>
    <w:p w14:paraId="2ECC7B49" w14:textId="77777777" w:rsidR="00210E81" w:rsidRPr="006545AD" w:rsidRDefault="00210E81" w:rsidP="00210E81">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Trong đó: Tỷ lệ đóng góp của hoạt động du lịch xanh trong GDP.</w:t>
      </w:r>
    </w:p>
    <w:p w14:paraId="75A26C3E" w14:textId="77777777" w:rsidR="00210E81" w:rsidRPr="006545AD" w:rsidRDefault="00210E81" w:rsidP="00210E81">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2 năm.</w:t>
      </w:r>
    </w:p>
    <w:p w14:paraId="731F86B9" w14:textId="77777777" w:rsidR="00210E81" w:rsidRPr="006545AD" w:rsidRDefault="00210E81" w:rsidP="00210E81">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1B805F52" w14:textId="77777777" w:rsidR="00210E81" w:rsidRPr="006545AD" w:rsidRDefault="00210E81" w:rsidP="00210E81">
      <w:pPr>
        <w:spacing w:before="60" w:after="60"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 (Điều tra chi tiêu của khách du lịch, Điều tra chi tiêu của hộ gia đình trong đó có chi tiêu cho hoạt động du lịch, điều tra doanh nghiệp, cơ sở cá thể kinh doanh dịch vụ lữ hành hàng năm. vụ lữ hành);</w:t>
      </w:r>
    </w:p>
    <w:p w14:paraId="26D586DC" w14:textId="297803D0" w:rsidR="00210E81" w:rsidRPr="006545AD" w:rsidRDefault="00210E81" w:rsidP="00210E81">
      <w:pPr>
        <w:spacing w:before="60" w:after="60"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Báo cáo thống kê (Số lượng khách du lịch nội địa, số lượng khách du lịch quốc tế hàng năm, tỷ lệ số lượng điểm tham quan, mua sắm, điểm dừng chân, nhà hàng phục vụ khách du lịch được dán nhãn xanh, tỷ lệ cơ sở lưu trú được dán nhãn bông sen xanh), tỷ lệ phương điện sử dụng điện hoặc năng lượng xanh,.. phục vụ cho việc tính toán các chỉ tiêu liên quan đến hoạt động du lịch do các cơ quan có thẩm quyền ban hành, dán nhãn và thực hiện báo cáo thống kê;</w:t>
      </w:r>
    </w:p>
    <w:p w14:paraId="68A376FE" w14:textId="77777777" w:rsidR="00210E81" w:rsidRPr="006545AD" w:rsidRDefault="00210E81" w:rsidP="00210E81">
      <w:pPr>
        <w:spacing w:before="60" w:after="60"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 xml:space="preserve"> - Nguồn khác: Hệ số chi phí trung gian, bảng cân đối liên ngành cập nhật mới nhất.</w:t>
      </w:r>
    </w:p>
    <w:p w14:paraId="6218DCA4" w14:textId="77777777" w:rsidR="00210E81" w:rsidRPr="006545AD" w:rsidRDefault="00210E81" w:rsidP="00210E81">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6ED56EC5" w14:textId="77777777" w:rsidR="00210E81" w:rsidRPr="006545AD" w:rsidRDefault="00210E81" w:rsidP="00210E81">
      <w:pPr>
        <w:spacing w:before="60" w:after="60"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Kế hoạch và Đầu tư (Tổng cục Thống kê);</w:t>
      </w:r>
    </w:p>
    <w:p w14:paraId="0D076AB0" w14:textId="77777777" w:rsidR="00210E81" w:rsidRPr="006545AD" w:rsidRDefault="00210E81" w:rsidP="00210E81">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Văn hóa thể thao và du lịch.</w:t>
      </w:r>
    </w:p>
    <w:p w14:paraId="0FBABFAB" w14:textId="0CA2761F" w:rsidR="004A59C0" w:rsidRPr="006545AD" w:rsidRDefault="00AB1EA5" w:rsidP="00463675">
      <w:pPr>
        <w:spacing w:beforeLines="60" w:before="144" w:afterLines="60" w:after="144" w:line="330" w:lineRule="exact"/>
        <w:jc w:val="both"/>
        <w:rPr>
          <w:rFonts w:ascii="Times New Roman Bold" w:eastAsia="Times New Roman" w:hAnsi="Times New Roman Bold" w:cs="Times New Roman"/>
          <w:b/>
          <w:spacing w:val="-6"/>
          <w:sz w:val="28"/>
          <w:szCs w:val="28"/>
        </w:rPr>
      </w:pPr>
      <w:r w:rsidRPr="006545AD">
        <w:rPr>
          <w:rFonts w:ascii="Times New Roman" w:eastAsia="Times New Roman" w:hAnsi="Times New Roman" w:cs="Times New Roman"/>
          <w:b/>
          <w:sz w:val="28"/>
          <w:szCs w:val="28"/>
        </w:rPr>
        <w:tab/>
      </w:r>
      <w:r w:rsidR="004A59C0" w:rsidRPr="006545AD">
        <w:rPr>
          <w:rFonts w:ascii="Times New Roman Bold" w:eastAsia="Times New Roman" w:hAnsi="Times New Roman Bold" w:cs="Times New Roman"/>
          <w:b/>
          <w:spacing w:val="-6"/>
          <w:sz w:val="28"/>
          <w:szCs w:val="28"/>
        </w:rPr>
        <w:t xml:space="preserve">2.23. Tỷ lệ </w:t>
      </w:r>
      <w:r w:rsidR="004A59C0" w:rsidRPr="006545AD">
        <w:rPr>
          <w:rFonts w:ascii="Times New Roman Bold" w:eastAsia="Times New Roman" w:hAnsi="Times New Roman Bold" w:cs="Times New Roman" w:hint="eastAsia"/>
          <w:b/>
          <w:spacing w:val="-6"/>
          <w:sz w:val="28"/>
          <w:szCs w:val="28"/>
        </w:rPr>
        <w:t>đ</w:t>
      </w:r>
      <w:r w:rsidR="004A59C0" w:rsidRPr="006545AD">
        <w:rPr>
          <w:rFonts w:ascii="Times New Roman Bold" w:eastAsia="Times New Roman" w:hAnsi="Times New Roman Bold" w:cs="Times New Roman"/>
          <w:b/>
          <w:spacing w:val="-6"/>
          <w:sz w:val="28"/>
          <w:szCs w:val="28"/>
        </w:rPr>
        <w:t xml:space="preserve">iểm </w:t>
      </w:r>
      <w:r w:rsidR="004A59C0" w:rsidRPr="006545AD">
        <w:rPr>
          <w:rFonts w:ascii="Times New Roman Bold" w:eastAsia="Times New Roman" w:hAnsi="Times New Roman Bold" w:cs="Times New Roman" w:hint="eastAsia"/>
          <w:b/>
          <w:spacing w:val="-6"/>
          <w:sz w:val="28"/>
          <w:szCs w:val="28"/>
        </w:rPr>
        <w:t>đ</w:t>
      </w:r>
      <w:r w:rsidR="004A59C0" w:rsidRPr="006545AD">
        <w:rPr>
          <w:rFonts w:ascii="Times New Roman Bold" w:eastAsia="Times New Roman" w:hAnsi="Times New Roman Bold" w:cs="Times New Roman"/>
          <w:b/>
          <w:spacing w:val="-6"/>
          <w:sz w:val="28"/>
          <w:szCs w:val="28"/>
        </w:rPr>
        <w:t>ến du lịch, c</w:t>
      </w:r>
      <w:r w:rsidR="004A59C0" w:rsidRPr="006545AD">
        <w:rPr>
          <w:rFonts w:ascii="Times New Roman Bold" w:eastAsia="Times New Roman" w:hAnsi="Times New Roman Bold" w:cs="Times New Roman" w:hint="eastAsia"/>
          <w:b/>
          <w:spacing w:val="-6"/>
          <w:sz w:val="28"/>
          <w:szCs w:val="28"/>
        </w:rPr>
        <w:t>ơ</w:t>
      </w:r>
      <w:r w:rsidR="004A59C0" w:rsidRPr="006545AD">
        <w:rPr>
          <w:rFonts w:ascii="Times New Roman Bold" w:eastAsia="Times New Roman" w:hAnsi="Times New Roman Bold" w:cs="Times New Roman"/>
          <w:b/>
          <w:spacing w:val="-6"/>
          <w:sz w:val="28"/>
          <w:szCs w:val="28"/>
        </w:rPr>
        <w:t xml:space="preserve"> sở kinh doanh du lịch </w:t>
      </w:r>
      <w:r w:rsidR="004A59C0" w:rsidRPr="006545AD">
        <w:rPr>
          <w:rFonts w:ascii="Times New Roman Bold" w:eastAsia="Times New Roman" w:hAnsi="Times New Roman Bold" w:cs="Times New Roman" w:hint="eastAsia"/>
          <w:b/>
          <w:spacing w:val="-6"/>
          <w:sz w:val="28"/>
          <w:szCs w:val="28"/>
        </w:rPr>
        <w:t>đư</w:t>
      </w:r>
      <w:r w:rsidR="004A59C0" w:rsidRPr="006545AD">
        <w:rPr>
          <w:rFonts w:ascii="Times New Roman Bold" w:eastAsia="Times New Roman" w:hAnsi="Times New Roman Bold" w:cs="Times New Roman"/>
          <w:b/>
          <w:spacing w:val="-6"/>
          <w:sz w:val="28"/>
          <w:szCs w:val="28"/>
        </w:rPr>
        <w:t>ợc d</w:t>
      </w:r>
      <w:r w:rsidR="004A59C0" w:rsidRPr="006545AD">
        <w:rPr>
          <w:rFonts w:ascii="Times New Roman Bold" w:eastAsia="Times New Roman" w:hAnsi="Times New Roman Bold" w:cs="Times New Roman" w:hint="eastAsia"/>
          <w:b/>
          <w:spacing w:val="-6"/>
          <w:sz w:val="28"/>
          <w:szCs w:val="28"/>
        </w:rPr>
        <w:t>á</w:t>
      </w:r>
      <w:r w:rsidR="004A59C0" w:rsidRPr="006545AD">
        <w:rPr>
          <w:rFonts w:ascii="Times New Roman Bold" w:eastAsia="Times New Roman" w:hAnsi="Times New Roman Bold" w:cs="Times New Roman"/>
          <w:b/>
          <w:spacing w:val="-6"/>
          <w:sz w:val="28"/>
          <w:szCs w:val="28"/>
        </w:rPr>
        <w:t>n nh</w:t>
      </w:r>
      <w:r w:rsidR="004A59C0" w:rsidRPr="006545AD">
        <w:rPr>
          <w:rFonts w:ascii="Times New Roman Bold" w:eastAsia="Times New Roman" w:hAnsi="Times New Roman Bold" w:cs="Times New Roman" w:hint="eastAsia"/>
          <w:b/>
          <w:spacing w:val="-6"/>
          <w:sz w:val="28"/>
          <w:szCs w:val="28"/>
        </w:rPr>
        <w:t>ã</w:t>
      </w:r>
      <w:r w:rsidR="004A59C0" w:rsidRPr="006545AD">
        <w:rPr>
          <w:rFonts w:ascii="Times New Roman Bold" w:eastAsia="Times New Roman" w:hAnsi="Times New Roman Bold" w:cs="Times New Roman"/>
          <w:b/>
          <w:spacing w:val="-6"/>
          <w:sz w:val="28"/>
          <w:szCs w:val="28"/>
        </w:rPr>
        <w:t>n xanh</w:t>
      </w:r>
    </w:p>
    <w:p w14:paraId="0A57A9DD" w14:textId="77777777" w:rsidR="004A59C0" w:rsidRPr="006545AD" w:rsidRDefault="004A59C0" w:rsidP="00463675">
      <w:pPr>
        <w:numPr>
          <w:ilvl w:val="0"/>
          <w:numId w:val="7"/>
        </w:numPr>
        <w:spacing w:beforeLines="60" w:before="144" w:afterLines="60" w:after="144" w:line="360" w:lineRule="exact"/>
        <w:contextualSpacing/>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Khái niệm, phương pháp tính</w:t>
      </w:r>
    </w:p>
    <w:p w14:paraId="601C333D" w14:textId="77777777" w:rsidR="004A59C0" w:rsidRPr="006545AD" w:rsidRDefault="004A59C0" w:rsidP="00463675">
      <w:pPr>
        <w:tabs>
          <w:tab w:val="left" w:pos="90"/>
        </w:tabs>
        <w:spacing w:beforeLines="60" w:before="144" w:afterLines="60" w:after="144" w:line="360" w:lineRule="exact"/>
        <w:ind w:left="90" w:firstLine="720"/>
        <w:contextualSpacing/>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xml:space="preserve">- Điểm đến du lịch bao gồm điểm du lịch và khu du lịch. </w:t>
      </w:r>
    </w:p>
    <w:p w14:paraId="34E68E97" w14:textId="77777777" w:rsidR="004A59C0" w:rsidRPr="006545AD" w:rsidRDefault="004A59C0" w:rsidP="00463675">
      <w:pPr>
        <w:tabs>
          <w:tab w:val="left" w:pos="90"/>
        </w:tabs>
        <w:spacing w:beforeLines="60" w:before="144" w:afterLines="60" w:after="144" w:line="360" w:lineRule="exact"/>
        <w:ind w:left="90" w:firstLine="720"/>
        <w:contextualSpacing/>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xml:space="preserve">+ Điểm du lịch là nơi có tài nguyên du lịch được đầu tư, khai thác phục vụ khách du lịch. </w:t>
      </w:r>
    </w:p>
    <w:p w14:paraId="0BF9121F" w14:textId="77777777" w:rsidR="004A59C0" w:rsidRPr="006545AD" w:rsidRDefault="004A59C0" w:rsidP="00463675">
      <w:pPr>
        <w:tabs>
          <w:tab w:val="left" w:pos="90"/>
        </w:tabs>
        <w:spacing w:beforeLines="60" w:before="144" w:afterLines="60" w:after="144" w:line="360" w:lineRule="exact"/>
        <w:ind w:left="90" w:firstLine="720"/>
        <w:contextualSpacing/>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Khu du lịch là khu vực có ưu thế về tài nguyên du lịch, được quy hoạch, đầu tư phát triển nhằm đáp ứng nhu cầu đa dạng của khách du lịch. Khu du lịch bao gồm khu du lịch cấp tỉnh và khu du lịch quốc gia.</w:t>
      </w:r>
    </w:p>
    <w:p w14:paraId="6D38EBE0" w14:textId="77777777" w:rsidR="004A59C0" w:rsidRPr="006545AD" w:rsidRDefault="004A59C0" w:rsidP="00463675">
      <w:pPr>
        <w:tabs>
          <w:tab w:val="left" w:pos="90"/>
        </w:tabs>
        <w:spacing w:beforeLines="60" w:before="144" w:afterLines="60" w:after="144" w:line="360" w:lineRule="exact"/>
        <w:ind w:left="90" w:firstLine="720"/>
        <w:contextualSpacing/>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Các cơ sở kinh doanh du lịch là các cơ sở cung cấp các dịch vụ nhằm phục vụ nhu cầu của khách du lịch, bao gồm cửa hàng mua sắm; cơ sở ăn uống; điểm dừng chân và cơ sở lưu trú du lịch.</w:t>
      </w:r>
    </w:p>
    <w:p w14:paraId="3BBDEE8E"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Cửa hàng mua sắm phục vụ khách du lịch (cửa hàng mua sắm) là cửa hàng độc lập, nằm ngoài cơ sở lưu trú du lịch, thực hiện việc bán sản phẩm hàng hóa cho khách du lịch.</w:t>
      </w:r>
    </w:p>
    <w:p w14:paraId="007592EF"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Cơ sở ăn uống phục vụ khách du lịch là cơ sở kinh doanh độc lập, nằm ngoài cơ sở lưu trú du lịch, phục vụ nhu cầu ăn uống và có thể có nhu cầu giải trí của khách du lịch.</w:t>
      </w:r>
    </w:p>
    <w:p w14:paraId="39928A08"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Điểm dừng chân phục vụ khách du lịch (điểm dừng chân) là nơi nghỉ cho khách đi đường trong một khoảng thời gian ngắn, có bãi đỗ xe, khu vệ sinh công cộng. Ngoài ra, có thể có thêm dịch vụ ăn uống (nhà hàng), dịch vụ mua sắm (cửa hàng mua sắm), đáp ứng được yêu cầu của khách du lịch.</w:t>
      </w:r>
    </w:p>
    <w:p w14:paraId="45C61904" w14:textId="77777777" w:rsidR="004A59C0" w:rsidRPr="006545AD" w:rsidRDefault="004A59C0" w:rsidP="00463675">
      <w:pPr>
        <w:tabs>
          <w:tab w:val="left" w:pos="90"/>
        </w:tabs>
        <w:spacing w:beforeLines="60" w:before="144" w:afterLines="60" w:after="144" w:line="360" w:lineRule="exact"/>
        <w:ind w:left="90" w:firstLine="720"/>
        <w:contextualSpacing/>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Cơ sở lưu trú du lịch là nơi cung cấp dịch vụ phục vụ nhu cầu lưu trú của khách du lịch.</w:t>
      </w:r>
    </w:p>
    <w:p w14:paraId="5BBA9807"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Nhãn xanh là nhãn hiệu được cơ quan có thẩm quyền cấp cho các cơ sở kinh doanh du lịch, điểm du lịch, khu du lịch khi thỏa mãn các tiêu chí, tiêu chuẩn do cơ quan có thẩm quyền ban hành. </w:t>
      </w:r>
    </w:p>
    <w:p w14:paraId="20671BC3"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Điểm du lịch, khu du lịch được cấp nhãn xanh là những điểm có nỗ lực trong việc bảo vệ môi trường, sử dụng hiệu quả tài nguyên, năng lượng, góp phần bảo vệ các di sản, phát triển kinh tế, văn hóa, xã hội của địa phương và phát triển du lịch bền vững.</w:t>
      </w:r>
    </w:p>
    <w:p w14:paraId="2EA0CBCD"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iCs/>
          <w:sz w:val="28"/>
          <w:szCs w:val="28"/>
        </w:rPr>
        <w:t xml:space="preserve">+ </w:t>
      </w:r>
      <w:r w:rsidRPr="006545AD">
        <w:rPr>
          <w:rFonts w:ascii="Times New Roman" w:eastAsia="Times New Roman" w:hAnsi="Times New Roman" w:cs="Times New Roman"/>
          <w:sz w:val="28"/>
          <w:szCs w:val="28"/>
        </w:rPr>
        <w:t xml:space="preserve">Cửa hàng mua sắm được cấp nhãn xanh là những cửa hàng có nỗ lực trong việc bảo vệ môi trường, sử dụng hiệu quả tài nguyên, năng lượng, góp phần </w:t>
      </w:r>
      <w:r w:rsidRPr="006545AD">
        <w:rPr>
          <w:rFonts w:ascii="Times New Roman" w:eastAsia="Times New Roman" w:hAnsi="Times New Roman" w:cs="Times New Roman"/>
          <w:sz w:val="28"/>
          <w:szCs w:val="28"/>
        </w:rPr>
        <w:lastRenderedPageBreak/>
        <w:t>bảo vệ các di sản, phát triển kinh tế, văn hóa, xã hội của địa phương và phát triển du lịch bền vững.</w:t>
      </w:r>
    </w:p>
    <w:p w14:paraId="69B747A5"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Cơ sở ăn uống được cấp nhãn xanh là đơn vị đã có những nỗ lực trong việc bảo vệ môi trường, sử dụng hiệu quả tài nguyên, năng lượng, nước, quản lý và xử lý tốt chất thải, tiếng ồn, góp phần phát triển kinh tế, văn hóa, xã hội của địa phương, của quốc gia và phát triển du lịch bền vững</w:t>
      </w:r>
    </w:p>
    <w:p w14:paraId="37446C6B"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Điểm dừng chân được cấp nhãn xanh là những điểm có nỗ lực trong việc bảo vệ môi trường, sử dụng hiệu quả tài nguyên, năng lượng, góp phần bảo vệ các di sản, phát triển kinh tế, văn hóa, xã hội của địa phương và phát triển du lịch bền vững.</w:t>
      </w:r>
    </w:p>
    <w:p w14:paraId="570018CA"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Cơ sở lưu trú du lịch được dán nhãn xanh là cơ sở lưu trú đang hoạt động, kinh doanh hợp pháp tại Việt Nam có những nỗ lực trong việc bảo vệ môi trường, sử dụng hiệu quả tài nguyên và năng lượng, đóng góp vào việc bảo tồn di sản, phát triển kinh tế, văn hóa, xã hội của địa phương đồng thời theo đổi các chính sách phát triển du lịch bền vững.  </w:t>
      </w:r>
    </w:p>
    <w:p w14:paraId="39C3E802" w14:textId="77777777" w:rsidR="004A59C0" w:rsidRPr="006545AD" w:rsidRDefault="004A59C0" w:rsidP="00463675">
      <w:pPr>
        <w:spacing w:beforeLines="60" w:before="144" w:afterLines="60" w:after="144" w:line="360" w:lineRule="exact"/>
        <w:ind w:firstLine="706"/>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W w:w="5000" w:type="pct"/>
        <w:jc w:val="center"/>
        <w:tblLook w:val="0600" w:firstRow="0" w:lastRow="0" w:firstColumn="0" w:lastColumn="0" w:noHBand="1" w:noVBand="1"/>
      </w:tblPr>
      <w:tblGrid>
        <w:gridCol w:w="3271"/>
        <w:gridCol w:w="381"/>
        <w:gridCol w:w="4712"/>
        <w:gridCol w:w="708"/>
      </w:tblGrid>
      <w:tr w:rsidR="004A59C0" w:rsidRPr="006545AD" w14:paraId="44F09BD1" w14:textId="77777777" w:rsidTr="00DF246D">
        <w:trPr>
          <w:trHeight w:val="916"/>
          <w:jc w:val="center"/>
        </w:trPr>
        <w:tc>
          <w:tcPr>
            <w:tcW w:w="1803" w:type="pct"/>
            <w:vMerge w:val="restart"/>
            <w:tcMar>
              <w:top w:w="100" w:type="dxa"/>
              <w:left w:w="20" w:type="dxa"/>
              <w:bottom w:w="100" w:type="dxa"/>
              <w:right w:w="20" w:type="dxa"/>
            </w:tcMar>
            <w:vAlign w:val="center"/>
          </w:tcPr>
          <w:p w14:paraId="2BA85A69" w14:textId="77777777" w:rsidR="004A59C0" w:rsidRPr="006545AD" w:rsidRDefault="004A59C0" w:rsidP="00463675">
            <w:pPr>
              <w:spacing w:beforeLines="60" w:before="144" w:afterLines="60" w:after="144" w:line="360" w:lineRule="exact"/>
              <w:jc w:val="center"/>
              <w:rPr>
                <w:rFonts w:ascii="Times New Roman" w:eastAsia="Times New Roman" w:hAnsi="Times New Roman" w:cs="Times New Roman"/>
                <w:spacing w:val="-4"/>
                <w:sz w:val="28"/>
                <w:szCs w:val="28"/>
              </w:rPr>
            </w:pPr>
            <w:r w:rsidRPr="006545AD">
              <w:rPr>
                <w:rFonts w:ascii="Times New Roman" w:eastAsia="Times New Roman" w:hAnsi="Times New Roman" w:cs="Times New Roman"/>
                <w:spacing w:val="-4"/>
                <w:sz w:val="28"/>
                <w:szCs w:val="28"/>
              </w:rPr>
              <w:t>Tỷ lệ điểm đến du lịch, cơ sở kinh doanh du lịch được dán nhãn xanh (%)</w:t>
            </w:r>
          </w:p>
        </w:tc>
        <w:tc>
          <w:tcPr>
            <w:tcW w:w="210" w:type="pct"/>
            <w:vMerge w:val="restart"/>
            <w:tcMar>
              <w:top w:w="100" w:type="dxa"/>
              <w:left w:w="20" w:type="dxa"/>
              <w:bottom w:w="100" w:type="dxa"/>
              <w:right w:w="20" w:type="dxa"/>
            </w:tcMar>
            <w:vAlign w:val="center"/>
          </w:tcPr>
          <w:p w14:paraId="74A14522" w14:textId="77777777" w:rsidR="004A59C0" w:rsidRPr="006545AD" w:rsidRDefault="004A59C0" w:rsidP="00463675">
            <w:pPr>
              <w:spacing w:beforeLines="60" w:before="144" w:afterLines="60" w:after="144" w:line="360" w:lineRule="exact"/>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597" w:type="pct"/>
            <w:tcBorders>
              <w:bottom w:val="single" w:sz="4" w:space="0" w:color="auto"/>
            </w:tcBorders>
            <w:tcMar>
              <w:top w:w="100" w:type="dxa"/>
              <w:left w:w="20" w:type="dxa"/>
              <w:bottom w:w="100" w:type="dxa"/>
              <w:right w:w="20" w:type="dxa"/>
            </w:tcMar>
            <w:vAlign w:val="center"/>
          </w:tcPr>
          <w:p w14:paraId="69E62522" w14:textId="77777777" w:rsidR="004A59C0" w:rsidRPr="006545AD" w:rsidRDefault="004A59C0" w:rsidP="00463675">
            <w:pPr>
              <w:spacing w:beforeLines="60" w:before="144" w:afterLines="60" w:after="144"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lượng</w:t>
            </w:r>
            <w:r w:rsidRPr="006545AD">
              <w:rPr>
                <w:rFonts w:ascii="Times New Roman" w:eastAsia="Times New Roman" w:hAnsi="Times New Roman" w:cs="Times New Roman"/>
                <w:bCs/>
                <w:spacing w:val="-4"/>
                <w:sz w:val="28"/>
                <w:szCs w:val="28"/>
              </w:rPr>
              <w:t xml:space="preserve"> điểm đến du lịch, cơ sở kinh doanh du lịch được dán nhãn xanh</w:t>
            </w:r>
          </w:p>
        </w:tc>
        <w:tc>
          <w:tcPr>
            <w:tcW w:w="390" w:type="pct"/>
            <w:vMerge w:val="restart"/>
            <w:tcMar>
              <w:top w:w="100" w:type="dxa"/>
              <w:left w:w="20" w:type="dxa"/>
              <w:bottom w:w="100" w:type="dxa"/>
              <w:right w:w="20" w:type="dxa"/>
            </w:tcMar>
            <w:vAlign w:val="center"/>
          </w:tcPr>
          <w:p w14:paraId="3D2B65E3" w14:textId="77777777" w:rsidR="004A59C0" w:rsidRPr="006545AD" w:rsidRDefault="004A59C0" w:rsidP="00463675">
            <w:pPr>
              <w:spacing w:beforeLines="60" w:before="144" w:afterLines="60" w:after="144"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6"/>
                <w:szCs w:val="26"/>
              </w:rPr>
              <w:t>×</w:t>
            </w:r>
            <w:r w:rsidRPr="006545AD">
              <w:rPr>
                <w:rFonts w:ascii="Times New Roman" w:eastAsia="Times New Roman" w:hAnsi="Times New Roman" w:cs="Times New Roman"/>
                <w:sz w:val="28"/>
                <w:szCs w:val="28"/>
              </w:rPr>
              <w:t xml:space="preserve"> 100</w:t>
            </w:r>
          </w:p>
        </w:tc>
      </w:tr>
      <w:tr w:rsidR="004A59C0" w:rsidRPr="006545AD" w14:paraId="490A6D76" w14:textId="77777777" w:rsidTr="00DF246D">
        <w:trPr>
          <w:trHeight w:val="772"/>
          <w:jc w:val="center"/>
        </w:trPr>
        <w:tc>
          <w:tcPr>
            <w:tcW w:w="1803" w:type="pct"/>
            <w:vMerge/>
            <w:shd w:val="clear" w:color="auto" w:fill="auto"/>
            <w:tcMar>
              <w:top w:w="100" w:type="dxa"/>
              <w:left w:w="100" w:type="dxa"/>
              <w:bottom w:w="100" w:type="dxa"/>
              <w:right w:w="100" w:type="dxa"/>
            </w:tcMar>
            <w:vAlign w:val="center"/>
          </w:tcPr>
          <w:p w14:paraId="5D967F69" w14:textId="77777777" w:rsidR="004A59C0" w:rsidRPr="006545AD" w:rsidRDefault="004A59C0" w:rsidP="00463675">
            <w:pPr>
              <w:spacing w:beforeLines="60" w:before="144" w:afterLines="60" w:after="144" w:line="360" w:lineRule="exact"/>
              <w:jc w:val="both"/>
              <w:rPr>
                <w:rFonts w:ascii="Times New Roman" w:eastAsia="Times New Roman" w:hAnsi="Times New Roman" w:cs="Times New Roman"/>
                <w:sz w:val="28"/>
                <w:szCs w:val="28"/>
              </w:rPr>
            </w:pPr>
          </w:p>
        </w:tc>
        <w:tc>
          <w:tcPr>
            <w:tcW w:w="210" w:type="pct"/>
            <w:vMerge/>
            <w:shd w:val="clear" w:color="auto" w:fill="auto"/>
            <w:tcMar>
              <w:top w:w="100" w:type="dxa"/>
              <w:left w:w="100" w:type="dxa"/>
              <w:bottom w:w="100" w:type="dxa"/>
              <w:right w:w="100" w:type="dxa"/>
            </w:tcMar>
            <w:vAlign w:val="center"/>
          </w:tcPr>
          <w:p w14:paraId="71A2BADB" w14:textId="77777777" w:rsidR="004A59C0" w:rsidRPr="006545AD" w:rsidRDefault="004A59C0" w:rsidP="00463675">
            <w:pPr>
              <w:spacing w:beforeLines="60" w:before="144" w:afterLines="60" w:after="144" w:line="360" w:lineRule="exact"/>
              <w:jc w:val="both"/>
              <w:rPr>
                <w:rFonts w:ascii="Times New Roman" w:eastAsia="Times New Roman" w:hAnsi="Times New Roman" w:cs="Times New Roman"/>
                <w:sz w:val="28"/>
                <w:szCs w:val="28"/>
              </w:rPr>
            </w:pPr>
          </w:p>
        </w:tc>
        <w:tc>
          <w:tcPr>
            <w:tcW w:w="2597" w:type="pct"/>
            <w:tcBorders>
              <w:top w:val="single" w:sz="4" w:space="0" w:color="auto"/>
            </w:tcBorders>
            <w:shd w:val="clear" w:color="auto" w:fill="auto"/>
            <w:tcMar>
              <w:top w:w="100" w:type="dxa"/>
              <w:left w:w="20" w:type="dxa"/>
              <w:bottom w:w="100" w:type="dxa"/>
              <w:right w:w="20" w:type="dxa"/>
            </w:tcMar>
            <w:vAlign w:val="center"/>
          </w:tcPr>
          <w:p w14:paraId="0AE749FD" w14:textId="77777777" w:rsidR="004A59C0" w:rsidRPr="006545AD" w:rsidRDefault="004A59C0" w:rsidP="00463675">
            <w:pPr>
              <w:spacing w:beforeLines="60" w:before="144" w:afterLines="60" w:after="144"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lượng</w:t>
            </w:r>
            <w:r w:rsidRPr="006545AD">
              <w:rPr>
                <w:rFonts w:ascii="Times New Roman" w:eastAsia="Times New Roman" w:hAnsi="Times New Roman" w:cs="Times New Roman"/>
                <w:bCs/>
                <w:spacing w:val="-4"/>
                <w:sz w:val="28"/>
                <w:szCs w:val="28"/>
              </w:rPr>
              <w:t xml:space="preserve"> điểm đến du lịch, cơ sở kinh doanh du lịch</w:t>
            </w:r>
          </w:p>
        </w:tc>
        <w:tc>
          <w:tcPr>
            <w:tcW w:w="390" w:type="pct"/>
            <w:vMerge/>
            <w:shd w:val="clear" w:color="auto" w:fill="auto"/>
            <w:tcMar>
              <w:top w:w="100" w:type="dxa"/>
              <w:left w:w="100" w:type="dxa"/>
              <w:bottom w:w="100" w:type="dxa"/>
              <w:right w:w="100" w:type="dxa"/>
            </w:tcMar>
            <w:vAlign w:val="center"/>
          </w:tcPr>
          <w:p w14:paraId="660E2E13" w14:textId="77777777" w:rsidR="004A59C0" w:rsidRPr="006545AD" w:rsidRDefault="004A59C0" w:rsidP="00463675">
            <w:pPr>
              <w:spacing w:beforeLines="60" w:before="144" w:afterLines="60" w:after="144" w:line="360" w:lineRule="exact"/>
              <w:jc w:val="both"/>
              <w:rPr>
                <w:rFonts w:ascii="Times New Roman" w:eastAsia="Times New Roman" w:hAnsi="Times New Roman" w:cs="Times New Roman"/>
                <w:sz w:val="28"/>
                <w:szCs w:val="28"/>
              </w:rPr>
            </w:pPr>
          </w:p>
        </w:tc>
      </w:tr>
    </w:tbl>
    <w:p w14:paraId="30162A8D"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
          <w:sz w:val="28"/>
          <w:szCs w:val="28"/>
        </w:rPr>
      </w:pPr>
    </w:p>
    <w:p w14:paraId="5D6B1F2A"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71977415"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xml:space="preserve">- Điểm du lịch; </w:t>
      </w:r>
    </w:p>
    <w:p w14:paraId="5A4D440F"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xml:space="preserve">- Khu du lịch; </w:t>
      </w:r>
    </w:p>
    <w:p w14:paraId="6138EC28"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xml:space="preserve">- Cửa hàng mua sắm phục vụ khách du lịch; </w:t>
      </w:r>
    </w:p>
    <w:p w14:paraId="5FC8AC45"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xml:space="preserve">- Nhà hàng phục vụ khách du lịch; </w:t>
      </w:r>
    </w:p>
    <w:p w14:paraId="3085C8EE"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Cs/>
          <w:sz w:val="28"/>
          <w:szCs w:val="28"/>
        </w:rPr>
      </w:pPr>
      <w:r w:rsidRPr="006545AD">
        <w:rPr>
          <w:rFonts w:ascii="Times New Roman" w:eastAsia="Times New Roman" w:hAnsi="Times New Roman" w:cs="Times New Roman"/>
          <w:bCs/>
          <w:sz w:val="28"/>
          <w:szCs w:val="28"/>
        </w:rPr>
        <w:t xml:space="preserve">- Điểm dừng chân phục vụ khách du lịch; </w:t>
      </w:r>
    </w:p>
    <w:p w14:paraId="177A2197"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Cs/>
          <w:sz w:val="28"/>
          <w:szCs w:val="28"/>
        </w:rPr>
        <w:t>- Cơ sở lưu trú phục vụ khách du lịch</w:t>
      </w:r>
    </w:p>
    <w:p w14:paraId="43674A23"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6C9407F7"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2 năm.</w:t>
      </w:r>
    </w:p>
    <w:p w14:paraId="0602741D"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272D26DF" w14:textId="2B10058C"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sz w:val="28"/>
          <w:szCs w:val="28"/>
          <w:lang w:val="vi-VN"/>
        </w:rPr>
      </w:pPr>
      <w:r w:rsidRPr="006545AD">
        <w:rPr>
          <w:rFonts w:ascii="Times New Roman" w:eastAsia="Times New Roman" w:hAnsi="Times New Roman" w:cs="Times New Roman"/>
          <w:sz w:val="28"/>
          <w:szCs w:val="28"/>
        </w:rPr>
        <w:lastRenderedPageBreak/>
        <w:t>- Tổng hợp từ nguồn dữ liệu hồ sơ hành chính (C</w:t>
      </w:r>
      <w:r w:rsidRPr="006545AD">
        <w:rPr>
          <w:rFonts w:ascii="Times New Roman" w:eastAsia="Times New Roman" w:hAnsi="Times New Roman" w:cs="Times New Roman"/>
          <w:spacing w:val="-2"/>
          <w:sz w:val="28"/>
          <w:szCs w:val="28"/>
        </w:rPr>
        <w:t>ục Du lịch quốc gia Việt Nam – Bộ Văn hóa Thể thao và Du lịch là cơ quan chủ trì, hướng dẫn thực</w:t>
      </w:r>
      <w:r w:rsidR="00DF246D" w:rsidRPr="006545AD">
        <w:rPr>
          <w:rFonts w:ascii="Times New Roman" w:eastAsia="Times New Roman" w:hAnsi="Times New Roman" w:cs="Times New Roman"/>
          <w:spacing w:val="-2"/>
          <w:sz w:val="28"/>
          <w:szCs w:val="28"/>
        </w:rPr>
        <w:t xml:space="preserve"> hiện công nhận dán nhãn</w:t>
      </w:r>
      <w:r w:rsidRPr="006545AD">
        <w:rPr>
          <w:rFonts w:ascii="Times New Roman" w:eastAsia="Times New Roman" w:hAnsi="Times New Roman" w:cs="Times New Roman"/>
          <w:spacing w:val="-2"/>
          <w:sz w:val="28"/>
          <w:szCs w:val="28"/>
        </w:rPr>
        <w:t xml:space="preserve"> xanh</w:t>
      </w:r>
      <w:r w:rsidRPr="006545AD">
        <w:rPr>
          <w:rFonts w:ascii="Times New Roman" w:eastAsia="Times New Roman" w:hAnsi="Times New Roman" w:cs="Times New Roman"/>
          <w:sz w:val="28"/>
          <w:szCs w:val="28"/>
        </w:rPr>
        <w:t>)</w:t>
      </w:r>
      <w:r w:rsidRPr="006545AD">
        <w:rPr>
          <w:rFonts w:ascii="Times New Roman" w:eastAsia="Times New Roman" w:hAnsi="Times New Roman" w:cs="Times New Roman"/>
          <w:sz w:val="28"/>
          <w:szCs w:val="28"/>
          <w:lang w:val="vi-VN"/>
        </w:rPr>
        <w:t>.</w:t>
      </w:r>
    </w:p>
    <w:p w14:paraId="0A39048B" w14:textId="77777777" w:rsidR="004A59C0" w:rsidRPr="006545AD" w:rsidRDefault="004A59C0" w:rsidP="00463675">
      <w:pPr>
        <w:spacing w:beforeLines="60" w:before="144" w:afterLines="60" w:after="144"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486FFF91" w14:textId="77777777" w:rsidR="004A59C0" w:rsidRPr="006545AD" w:rsidRDefault="004A59C0"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Văn hóa Thể thao và Du lịch;</w:t>
      </w:r>
    </w:p>
    <w:p w14:paraId="0BAC4AED" w14:textId="77777777" w:rsidR="004A59C0" w:rsidRPr="006545AD" w:rsidRDefault="004A59C0" w:rsidP="00463675">
      <w:pPr>
        <w:spacing w:beforeLines="60" w:before="144" w:afterLines="60" w:after="144"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Phối hợp: Bộ Kế hoạch và Đầu tư (Tổng cục Thống kê).</w:t>
      </w:r>
    </w:p>
    <w:p w14:paraId="0EAD30E5" w14:textId="5A4A442E" w:rsidR="00210E81" w:rsidRPr="006545AD" w:rsidRDefault="004A59C0" w:rsidP="00463675">
      <w:pPr>
        <w:spacing w:beforeLines="60" w:before="144" w:afterLines="60" w:after="144" w:line="33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2.24</w:t>
      </w:r>
      <w:r w:rsidR="00210E81" w:rsidRPr="006545AD">
        <w:rPr>
          <w:rFonts w:ascii="Times New Roman" w:eastAsia="Times New Roman" w:hAnsi="Times New Roman" w:cs="Times New Roman"/>
          <w:b/>
          <w:sz w:val="28"/>
          <w:szCs w:val="28"/>
        </w:rPr>
        <w:t>. Tỷ lệ các cơ sở đạt tiêu chuẩn cơ sở y tế xanh, bền</w:t>
      </w:r>
      <w:r w:rsidR="00C439C3" w:rsidRPr="006545AD">
        <w:rPr>
          <w:rFonts w:ascii="Times New Roman" w:eastAsia="Times New Roman" w:hAnsi="Times New Roman" w:cs="Times New Roman"/>
          <w:b/>
          <w:sz w:val="28"/>
          <w:szCs w:val="28"/>
        </w:rPr>
        <w:t xml:space="preserve"> vững so với tổng số cơ sở y tế</w:t>
      </w:r>
    </w:p>
    <w:p w14:paraId="25397305" w14:textId="77777777" w:rsidR="00210E81" w:rsidRPr="006545AD" w:rsidRDefault="00210E81" w:rsidP="00463675">
      <w:pPr>
        <w:spacing w:beforeLines="60" w:before="144" w:afterLines="60" w:after="144"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27FE58A4" w14:textId="77777777" w:rsidR="00210E81" w:rsidRPr="006545AD" w:rsidRDefault="00210E81" w:rsidP="00463675">
      <w:pPr>
        <w:spacing w:beforeLines="60" w:before="144" w:afterLines="60" w:after="144" w:line="36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Cơ sở y tế đạt quy chuẩn, tiêu chuẩn cơ sở y tế xanh, bền vững là các cơ sở y tế đạt được các tiêu chí cơ sở y tế “xanh-sạch-đẹp” theo quy định của Bộ Y tế. Cơ sở y tế là tất cả cơ sở khám bệnh, chữa bệnh; cơ sở y tế dự phòng; cơ sở đào tạo khối ngành sức khỏe; cơ sở nghiên cứu, xét nghiệm, kiểm nghiệm, kiểm định, thử nghiệm y, dược. </w:t>
      </w:r>
    </w:p>
    <w:p w14:paraId="1677A0C6" w14:textId="0468A588" w:rsidR="000B3ABE" w:rsidRPr="006545AD" w:rsidRDefault="00210E81" w:rsidP="00463675">
      <w:pPr>
        <w:spacing w:beforeLines="60" w:before="144" w:afterLines="60" w:after="144"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các cơ sở đạt tiêu chuẩn cơ sở y tế  xanh, bền vững là tỷ lệ phần trăm giữa số lượng cơ sở y tế được xếp loại “xanh-sạch-đẹp” đạt mức xuất sắc, tốt, khá so với tổng số cơ sở y tế .</w:t>
      </w:r>
    </w:p>
    <w:p w14:paraId="57D4367A" w14:textId="77777777" w:rsidR="00210E81" w:rsidRPr="006545AD" w:rsidRDefault="00210E81" w:rsidP="00463675">
      <w:pPr>
        <w:spacing w:beforeLines="60" w:before="144" w:afterLines="60" w:after="144"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p>
    <w:tbl>
      <w:tblPr>
        <w:tblStyle w:val="18"/>
        <w:tblW w:w="5000" w:type="pct"/>
        <w:jc w:val="center"/>
        <w:tblBorders>
          <w:top w:val="nil"/>
          <w:left w:val="nil"/>
          <w:bottom w:val="nil"/>
          <w:right w:val="nil"/>
          <w:insideH w:val="nil"/>
          <w:insideV w:val="nil"/>
        </w:tblBorders>
        <w:tblLook w:val="0600" w:firstRow="0" w:lastRow="0" w:firstColumn="0" w:lastColumn="0" w:noHBand="1" w:noVBand="1"/>
      </w:tblPr>
      <w:tblGrid>
        <w:gridCol w:w="1704"/>
        <w:gridCol w:w="281"/>
        <w:gridCol w:w="6238"/>
        <w:gridCol w:w="849"/>
      </w:tblGrid>
      <w:tr w:rsidR="009A64D8" w:rsidRPr="006545AD" w14:paraId="0186C8B4" w14:textId="77777777" w:rsidTr="005725BC">
        <w:trPr>
          <w:trHeight w:val="176"/>
          <w:jc w:val="center"/>
        </w:trPr>
        <w:tc>
          <w:tcPr>
            <w:tcW w:w="939" w:type="pct"/>
            <w:vMerge w:val="restart"/>
            <w:tcBorders>
              <w:top w:val="nil"/>
              <w:left w:val="nil"/>
              <w:bottom w:val="nil"/>
              <w:right w:val="nil"/>
            </w:tcBorders>
            <w:tcMar>
              <w:top w:w="100" w:type="dxa"/>
              <w:left w:w="20" w:type="dxa"/>
              <w:bottom w:w="100" w:type="dxa"/>
              <w:right w:w="20" w:type="dxa"/>
            </w:tcMar>
            <w:vAlign w:val="center"/>
          </w:tcPr>
          <w:p w14:paraId="033AD930" w14:textId="6E2673F9" w:rsidR="00210E81" w:rsidRPr="006545AD" w:rsidRDefault="00210E81" w:rsidP="00463675">
            <w:pPr>
              <w:spacing w:beforeLines="60" w:before="144" w:afterLines="60" w:after="144"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Tỷ lệ các cơ sở đạt tiêu chuẩn cơ sở y </w:t>
            </w:r>
            <w:r w:rsidR="004A59C0" w:rsidRPr="006545AD">
              <w:rPr>
                <w:rFonts w:ascii="Times New Roman" w:eastAsia="Times New Roman" w:hAnsi="Times New Roman" w:cs="Times New Roman"/>
                <w:sz w:val="28"/>
                <w:szCs w:val="28"/>
              </w:rPr>
              <w:t>tế xanh</w:t>
            </w:r>
            <w:r w:rsidRPr="006545AD">
              <w:rPr>
                <w:rFonts w:ascii="Times New Roman" w:eastAsia="Times New Roman" w:hAnsi="Times New Roman" w:cs="Times New Roman"/>
                <w:sz w:val="28"/>
                <w:szCs w:val="28"/>
              </w:rPr>
              <w:t>, bền vững (%)</w:t>
            </w:r>
          </w:p>
        </w:tc>
        <w:tc>
          <w:tcPr>
            <w:tcW w:w="155" w:type="pct"/>
            <w:vMerge w:val="restart"/>
            <w:tcBorders>
              <w:top w:val="nil"/>
              <w:left w:val="nil"/>
              <w:bottom w:val="nil"/>
              <w:right w:val="nil"/>
            </w:tcBorders>
            <w:tcMar>
              <w:top w:w="100" w:type="dxa"/>
              <w:left w:w="20" w:type="dxa"/>
              <w:bottom w:w="100" w:type="dxa"/>
              <w:right w:w="20" w:type="dxa"/>
            </w:tcMar>
            <w:vAlign w:val="center"/>
          </w:tcPr>
          <w:p w14:paraId="03AACB60" w14:textId="77777777" w:rsidR="00210E81" w:rsidRPr="006545AD" w:rsidRDefault="00210E81" w:rsidP="00463675">
            <w:pPr>
              <w:spacing w:beforeLines="60" w:before="144" w:afterLines="60" w:after="144"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3438" w:type="pct"/>
            <w:tcBorders>
              <w:top w:val="nil"/>
              <w:left w:val="nil"/>
              <w:bottom w:val="single" w:sz="8" w:space="0" w:color="000000"/>
              <w:right w:val="nil"/>
            </w:tcBorders>
            <w:tcMar>
              <w:top w:w="100" w:type="dxa"/>
              <w:left w:w="20" w:type="dxa"/>
              <w:bottom w:w="100" w:type="dxa"/>
              <w:right w:w="20" w:type="dxa"/>
            </w:tcMar>
            <w:vAlign w:val="center"/>
          </w:tcPr>
          <w:p w14:paraId="4A48D98C" w14:textId="59FC5E8D" w:rsidR="00210E81" w:rsidRPr="006545AD" w:rsidRDefault="00210E81" w:rsidP="00463675">
            <w:pPr>
              <w:spacing w:beforeLines="60" w:before="144" w:afterLines="60" w:after="144"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Số lượng cơ sở y tế được xếp loại “xanh-sạch-đẹp” đạt mức xuất sắc, tốt, khá </w:t>
            </w:r>
          </w:p>
        </w:tc>
        <w:tc>
          <w:tcPr>
            <w:tcW w:w="468" w:type="pct"/>
            <w:vMerge w:val="restart"/>
            <w:tcBorders>
              <w:top w:val="nil"/>
              <w:left w:val="nil"/>
              <w:bottom w:val="nil"/>
              <w:right w:val="nil"/>
            </w:tcBorders>
            <w:tcMar>
              <w:top w:w="100" w:type="dxa"/>
              <w:left w:w="20" w:type="dxa"/>
              <w:bottom w:w="100" w:type="dxa"/>
              <w:right w:w="20" w:type="dxa"/>
            </w:tcMar>
            <w:vAlign w:val="center"/>
          </w:tcPr>
          <w:p w14:paraId="67CEBF1E" w14:textId="41C42AF4" w:rsidR="00210E81" w:rsidRPr="006545AD" w:rsidRDefault="00A339A7" w:rsidP="00463675">
            <w:pPr>
              <w:spacing w:beforeLines="60" w:before="144" w:afterLines="60" w:after="144" w:line="360" w:lineRule="exact"/>
              <w:jc w:val="center"/>
              <w:rPr>
                <w:rFonts w:ascii="Times New Roman" w:eastAsia="Times New Roman" w:hAnsi="Times New Roman" w:cs="Times New Roman"/>
                <w:sz w:val="28"/>
                <w:szCs w:val="28"/>
              </w:rPr>
            </w:pPr>
            <w:r w:rsidRPr="006545AD">
              <w:rPr>
                <w:sz w:val="26"/>
                <w:szCs w:val="26"/>
              </w:rPr>
              <w:t>×</w:t>
            </w:r>
            <w:r w:rsidR="00210E81" w:rsidRPr="006545AD">
              <w:rPr>
                <w:rFonts w:ascii="Times New Roman" w:eastAsia="Times New Roman" w:hAnsi="Times New Roman" w:cs="Times New Roman"/>
                <w:sz w:val="28"/>
                <w:szCs w:val="28"/>
              </w:rPr>
              <w:t xml:space="preserve"> 100</w:t>
            </w:r>
          </w:p>
        </w:tc>
      </w:tr>
      <w:tr w:rsidR="009A64D8" w:rsidRPr="006545AD" w14:paraId="5CC1B3F1" w14:textId="77777777" w:rsidTr="005725BC">
        <w:trPr>
          <w:trHeight w:val="1048"/>
          <w:jc w:val="center"/>
        </w:trPr>
        <w:tc>
          <w:tcPr>
            <w:tcW w:w="939" w:type="pct"/>
            <w:vMerge/>
            <w:tcBorders>
              <w:bottom w:val="nil"/>
              <w:right w:val="nil"/>
            </w:tcBorders>
            <w:shd w:val="clear" w:color="auto" w:fill="auto"/>
            <w:tcMar>
              <w:top w:w="100" w:type="dxa"/>
              <w:left w:w="100" w:type="dxa"/>
              <w:bottom w:w="100" w:type="dxa"/>
              <w:right w:w="100" w:type="dxa"/>
            </w:tcMar>
            <w:vAlign w:val="center"/>
          </w:tcPr>
          <w:p w14:paraId="2ACE5CF6" w14:textId="77777777" w:rsidR="00210E81" w:rsidRPr="006545AD" w:rsidRDefault="00210E81" w:rsidP="00463675">
            <w:pPr>
              <w:spacing w:beforeLines="60" w:before="144" w:afterLines="60" w:after="144" w:line="360" w:lineRule="exact"/>
              <w:jc w:val="both"/>
              <w:rPr>
                <w:rFonts w:ascii="Times New Roman" w:eastAsia="Times New Roman" w:hAnsi="Times New Roman" w:cs="Times New Roman"/>
                <w:sz w:val="28"/>
                <w:szCs w:val="28"/>
              </w:rPr>
            </w:pPr>
          </w:p>
        </w:tc>
        <w:tc>
          <w:tcPr>
            <w:tcW w:w="155" w:type="pct"/>
            <w:vMerge/>
            <w:tcBorders>
              <w:bottom w:val="nil"/>
              <w:right w:val="nil"/>
            </w:tcBorders>
            <w:shd w:val="clear" w:color="auto" w:fill="auto"/>
            <w:tcMar>
              <w:top w:w="100" w:type="dxa"/>
              <w:left w:w="100" w:type="dxa"/>
              <w:bottom w:w="100" w:type="dxa"/>
              <w:right w:w="100" w:type="dxa"/>
            </w:tcMar>
            <w:vAlign w:val="center"/>
          </w:tcPr>
          <w:p w14:paraId="49D10C5B" w14:textId="77777777" w:rsidR="00210E81" w:rsidRPr="006545AD" w:rsidRDefault="00210E81" w:rsidP="00463675">
            <w:pPr>
              <w:spacing w:beforeLines="60" w:before="144" w:afterLines="60" w:after="144" w:line="360" w:lineRule="exact"/>
              <w:jc w:val="both"/>
              <w:rPr>
                <w:rFonts w:ascii="Times New Roman" w:eastAsia="Times New Roman" w:hAnsi="Times New Roman" w:cs="Times New Roman"/>
                <w:sz w:val="28"/>
                <w:szCs w:val="28"/>
              </w:rPr>
            </w:pPr>
          </w:p>
        </w:tc>
        <w:tc>
          <w:tcPr>
            <w:tcW w:w="3438" w:type="pct"/>
            <w:tcBorders>
              <w:top w:val="nil"/>
              <w:left w:val="nil"/>
              <w:bottom w:val="nil"/>
              <w:right w:val="nil"/>
            </w:tcBorders>
            <w:shd w:val="clear" w:color="auto" w:fill="auto"/>
            <w:tcMar>
              <w:top w:w="100" w:type="dxa"/>
              <w:left w:w="20" w:type="dxa"/>
              <w:bottom w:w="100" w:type="dxa"/>
              <w:right w:w="20" w:type="dxa"/>
            </w:tcMar>
            <w:vAlign w:val="center"/>
          </w:tcPr>
          <w:p w14:paraId="73D3CCDE" w14:textId="77777777" w:rsidR="00210E81" w:rsidRPr="006545AD" w:rsidRDefault="00210E81" w:rsidP="00463675">
            <w:pPr>
              <w:spacing w:beforeLines="60" w:before="144" w:afterLines="60" w:after="144"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số cơ sở y tế</w:t>
            </w:r>
          </w:p>
        </w:tc>
        <w:tc>
          <w:tcPr>
            <w:tcW w:w="468" w:type="pct"/>
            <w:vMerge/>
            <w:tcBorders>
              <w:bottom w:val="nil"/>
              <w:right w:val="nil"/>
            </w:tcBorders>
            <w:shd w:val="clear" w:color="auto" w:fill="auto"/>
            <w:tcMar>
              <w:top w:w="100" w:type="dxa"/>
              <w:left w:w="100" w:type="dxa"/>
              <w:bottom w:w="100" w:type="dxa"/>
              <w:right w:w="100" w:type="dxa"/>
            </w:tcMar>
            <w:vAlign w:val="center"/>
          </w:tcPr>
          <w:p w14:paraId="1F676606" w14:textId="77777777" w:rsidR="00210E81" w:rsidRPr="006545AD" w:rsidRDefault="00210E81" w:rsidP="00463675">
            <w:pPr>
              <w:spacing w:beforeLines="60" w:before="144" w:afterLines="60" w:after="144" w:line="360" w:lineRule="exact"/>
              <w:jc w:val="both"/>
              <w:rPr>
                <w:rFonts w:ascii="Times New Roman" w:eastAsia="Times New Roman" w:hAnsi="Times New Roman" w:cs="Times New Roman"/>
                <w:sz w:val="28"/>
                <w:szCs w:val="28"/>
              </w:rPr>
            </w:pPr>
          </w:p>
        </w:tc>
      </w:tr>
    </w:tbl>
    <w:p w14:paraId="261C0DDA" w14:textId="1DB0A36A" w:rsidR="00210E81" w:rsidRPr="006545AD" w:rsidRDefault="00210E81" w:rsidP="00463675">
      <w:pPr>
        <w:spacing w:beforeLines="60" w:before="144" w:afterLines="60" w:after="144" w:line="340" w:lineRule="exact"/>
        <w:ind w:firstLine="709"/>
        <w:jc w:val="both"/>
        <w:rPr>
          <w:rFonts w:ascii="Times New Roman" w:eastAsia="Times New Roman" w:hAnsi="Times New Roman" w:cs="Times New Roman"/>
          <w:spacing w:val="-2"/>
          <w:sz w:val="28"/>
          <w:szCs w:val="28"/>
        </w:rPr>
      </w:pPr>
      <w:r w:rsidRPr="006545AD">
        <w:rPr>
          <w:rFonts w:ascii="Times New Roman" w:eastAsia="Times New Roman" w:hAnsi="Times New Roman" w:cs="Times New Roman"/>
          <w:spacing w:val="-2"/>
          <w:sz w:val="28"/>
          <w:szCs w:val="28"/>
        </w:rPr>
        <w:t>Tỷ lệ các cơ sở đạt tiêu chuẩn cơ sở y tế  xanh, bền vững là số lượng cơ sở y tế được xếp loại “xanh-sạch-đẹp” đạt mức xuất sắc, tốt, khá/ Tổng số cơ sở y tế.</w:t>
      </w:r>
    </w:p>
    <w:p w14:paraId="1D4C2323" w14:textId="77777777" w:rsidR="00210E81" w:rsidRPr="006545AD" w:rsidRDefault="00210E81" w:rsidP="00463675">
      <w:pPr>
        <w:spacing w:beforeLines="60" w:before="144" w:afterLines="60" w:after="144"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0CECBF5F" w14:textId="77777777" w:rsidR="00210E81" w:rsidRPr="006545AD" w:rsidRDefault="00210E81" w:rsidP="00463675">
      <w:pPr>
        <w:spacing w:beforeLines="60" w:before="144" w:afterLines="60" w:after="144" w:line="34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71766831" w14:textId="77777777" w:rsidR="00210E81" w:rsidRPr="006545AD" w:rsidRDefault="00210E81" w:rsidP="00463675">
      <w:pPr>
        <w:spacing w:beforeLines="60" w:before="144" w:afterLines="60" w:after="144" w:line="34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hình cơ sở y tế (công lập, ngoài công lập);</w:t>
      </w:r>
    </w:p>
    <w:p w14:paraId="668800FB" w14:textId="77777777" w:rsidR="00210E81" w:rsidRPr="006545AD" w:rsidRDefault="00210E81" w:rsidP="00463675">
      <w:pPr>
        <w:spacing w:beforeLines="60" w:before="144" w:afterLines="60" w:after="144"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Xếp loại: Xuất sắc, tốt, khá, trung bình, kém.</w:t>
      </w:r>
    </w:p>
    <w:p w14:paraId="0A9A8DA8" w14:textId="77777777" w:rsidR="00210E81" w:rsidRPr="006545AD" w:rsidRDefault="00210E81" w:rsidP="00463675">
      <w:pPr>
        <w:spacing w:beforeLines="60" w:before="144" w:afterLines="60" w:after="144"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66390BCB" w14:textId="77777777" w:rsidR="00210E81" w:rsidRPr="006545AD" w:rsidRDefault="00210E81" w:rsidP="00463675">
      <w:pPr>
        <w:spacing w:beforeLines="60" w:before="144" w:afterLines="60" w:after="144"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1D632D60" w14:textId="543BFA70" w:rsidR="004A59C0" w:rsidRPr="006545AD" w:rsidRDefault="00210E81" w:rsidP="00463675">
      <w:pPr>
        <w:spacing w:beforeLines="60" w:before="144" w:afterLines="60" w:after="144"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Tổng hợp từ nguồn dữ liệu, hồ sơ hành chính </w:t>
      </w:r>
    </w:p>
    <w:p w14:paraId="7E26DBF3" w14:textId="172061A2" w:rsidR="00210E81" w:rsidRPr="006545AD" w:rsidRDefault="000B3ABE" w:rsidP="009E1776">
      <w:pPr>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ab/>
      </w:r>
      <w:r w:rsidR="00210E81" w:rsidRPr="006545AD">
        <w:rPr>
          <w:rFonts w:ascii="Times New Roman" w:eastAsia="Times New Roman" w:hAnsi="Times New Roman" w:cs="Times New Roman"/>
          <w:b/>
          <w:sz w:val="28"/>
          <w:szCs w:val="28"/>
        </w:rPr>
        <w:t>5. Cơ quan chịu trách nhiệm thu thập, tổng hợp:</w:t>
      </w:r>
    </w:p>
    <w:p w14:paraId="33D0F609" w14:textId="77777777" w:rsidR="00210E81" w:rsidRPr="006545AD" w:rsidRDefault="00210E81" w:rsidP="005725BC">
      <w:pPr>
        <w:spacing w:before="60" w:after="60" w:line="340" w:lineRule="exact"/>
        <w:ind w:firstLine="70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Y tế;</w:t>
      </w:r>
    </w:p>
    <w:p w14:paraId="727B7B60" w14:textId="77777777" w:rsidR="00210E81" w:rsidRPr="006545AD" w:rsidRDefault="00210E81"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Kế hoạch và Đầu tư (Tổng cục Thống kê).</w:t>
      </w:r>
    </w:p>
    <w:p w14:paraId="5638A344" w14:textId="32A90726" w:rsidR="008A69D5" w:rsidRPr="006545AD" w:rsidRDefault="008A69D5" w:rsidP="005725BC">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AB1EA5" w:rsidRPr="006545AD">
        <w:rPr>
          <w:rFonts w:ascii="Times New Roman" w:eastAsia="Times New Roman" w:hAnsi="Times New Roman" w:cs="Times New Roman"/>
          <w:b/>
          <w:sz w:val="28"/>
          <w:szCs w:val="28"/>
        </w:rPr>
        <w:t>2.25</w:t>
      </w:r>
      <w:r w:rsidRPr="006545AD">
        <w:rPr>
          <w:rFonts w:ascii="Times New Roman" w:eastAsia="Times New Roman" w:hAnsi="Times New Roman" w:cs="Times New Roman"/>
          <w:b/>
          <w:sz w:val="28"/>
          <w:szCs w:val="28"/>
        </w:rPr>
        <w:t>. Tỷ trọng giá trị tăng thêm của kinh tế số trong tổng sản phẩm trong nước</w:t>
      </w:r>
    </w:p>
    <w:p w14:paraId="55DC4630" w14:textId="77777777" w:rsidR="008A69D5" w:rsidRPr="006545AD" w:rsidRDefault="008A69D5" w:rsidP="005725BC">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7E7D7B25" w14:textId="77777777" w:rsidR="008A69D5" w:rsidRPr="006545AD" w:rsidRDefault="008A69D5"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Tỷ trọng giá trị tăng thêm của kinh tế số trong tổng sản phẩm trong nước là tỷ lệ phần trăm giữa tổng giá trị tăng thêm do kinh tế số tạo ra so với tổng sản phẩm trong nước trong kỳ báo cáo.</w:t>
      </w:r>
    </w:p>
    <w:p w14:paraId="2EEA473C"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18"/>
        <w:tblW w:w="5000" w:type="pct"/>
        <w:jc w:val="center"/>
        <w:tblBorders>
          <w:top w:val="nil"/>
          <w:left w:val="nil"/>
          <w:bottom w:val="nil"/>
          <w:right w:val="nil"/>
          <w:insideH w:val="nil"/>
          <w:insideV w:val="nil"/>
        </w:tblBorders>
        <w:tblLook w:val="0600" w:firstRow="0" w:lastRow="0" w:firstColumn="0" w:lastColumn="0" w:noHBand="1" w:noVBand="1"/>
      </w:tblPr>
      <w:tblGrid>
        <w:gridCol w:w="3270"/>
        <w:gridCol w:w="385"/>
        <w:gridCol w:w="4474"/>
        <w:gridCol w:w="943"/>
      </w:tblGrid>
      <w:tr w:rsidR="008A69D5" w:rsidRPr="006545AD" w14:paraId="76B7DF0F" w14:textId="77777777" w:rsidTr="00350DB3">
        <w:trPr>
          <w:trHeight w:val="585"/>
          <w:jc w:val="center"/>
        </w:trPr>
        <w:tc>
          <w:tcPr>
            <w:tcW w:w="1802" w:type="pct"/>
            <w:vMerge w:val="restart"/>
            <w:tcBorders>
              <w:top w:val="nil"/>
              <w:left w:val="nil"/>
              <w:bottom w:val="nil"/>
              <w:right w:val="nil"/>
            </w:tcBorders>
            <w:tcMar>
              <w:top w:w="100" w:type="dxa"/>
              <w:left w:w="20" w:type="dxa"/>
              <w:bottom w:w="100" w:type="dxa"/>
              <w:right w:w="20" w:type="dxa"/>
            </w:tcMar>
            <w:vAlign w:val="center"/>
          </w:tcPr>
          <w:p w14:paraId="6CBB87F6" w14:textId="77777777" w:rsidR="008A69D5" w:rsidRPr="006545AD" w:rsidRDefault="008A69D5"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Tỷ trọng giá trị tăng thêm của kinh tế số trong tổng sản phẩm trong nước (%)</w:t>
            </w:r>
          </w:p>
        </w:tc>
        <w:tc>
          <w:tcPr>
            <w:tcW w:w="212" w:type="pct"/>
            <w:vMerge w:val="restart"/>
            <w:tcBorders>
              <w:top w:val="nil"/>
              <w:left w:val="nil"/>
              <w:bottom w:val="nil"/>
              <w:right w:val="nil"/>
            </w:tcBorders>
            <w:tcMar>
              <w:top w:w="100" w:type="dxa"/>
              <w:left w:w="20" w:type="dxa"/>
              <w:bottom w:w="100" w:type="dxa"/>
              <w:right w:w="20" w:type="dxa"/>
            </w:tcMar>
            <w:vAlign w:val="center"/>
          </w:tcPr>
          <w:p w14:paraId="715BC6ED" w14:textId="77777777" w:rsidR="008A69D5" w:rsidRPr="006545AD" w:rsidRDefault="008A69D5"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466" w:type="pct"/>
            <w:tcBorders>
              <w:top w:val="nil"/>
              <w:left w:val="nil"/>
              <w:bottom w:val="single" w:sz="8" w:space="0" w:color="000000"/>
              <w:right w:val="nil"/>
            </w:tcBorders>
            <w:tcMar>
              <w:top w:w="100" w:type="dxa"/>
              <w:left w:w="20" w:type="dxa"/>
              <w:bottom w:w="100" w:type="dxa"/>
              <w:right w:w="20" w:type="dxa"/>
            </w:tcMar>
            <w:vAlign w:val="center"/>
          </w:tcPr>
          <w:p w14:paraId="68EB54ED" w14:textId="77777777" w:rsidR="008A69D5" w:rsidRPr="006545AD" w:rsidRDefault="008A69D5"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tăng thêm của kinh tế số</w:t>
            </w:r>
          </w:p>
        </w:tc>
        <w:tc>
          <w:tcPr>
            <w:tcW w:w="520" w:type="pct"/>
            <w:vMerge w:val="restart"/>
            <w:tcBorders>
              <w:top w:val="nil"/>
              <w:left w:val="nil"/>
              <w:bottom w:val="nil"/>
              <w:right w:val="nil"/>
            </w:tcBorders>
            <w:tcMar>
              <w:top w:w="100" w:type="dxa"/>
              <w:left w:w="20" w:type="dxa"/>
              <w:bottom w:w="100" w:type="dxa"/>
              <w:right w:w="20" w:type="dxa"/>
            </w:tcMar>
            <w:vAlign w:val="center"/>
          </w:tcPr>
          <w:p w14:paraId="2725F86B" w14:textId="1C79EC02" w:rsidR="008A69D5" w:rsidRPr="006545AD" w:rsidRDefault="00A339A7" w:rsidP="00350DB3">
            <w:pPr>
              <w:spacing w:before="60" w:after="60" w:line="360" w:lineRule="exact"/>
              <w:jc w:val="center"/>
              <w:rPr>
                <w:rFonts w:ascii="Times New Roman" w:eastAsia="Times New Roman" w:hAnsi="Times New Roman" w:cs="Times New Roman"/>
                <w:sz w:val="28"/>
                <w:szCs w:val="28"/>
              </w:rPr>
            </w:pPr>
            <w:r w:rsidRPr="006545AD">
              <w:rPr>
                <w:sz w:val="26"/>
                <w:szCs w:val="26"/>
              </w:rPr>
              <w:t>×</w:t>
            </w:r>
            <w:r w:rsidR="008A69D5" w:rsidRPr="006545AD">
              <w:rPr>
                <w:rFonts w:ascii="Times New Roman" w:eastAsia="Times New Roman" w:hAnsi="Times New Roman" w:cs="Times New Roman"/>
                <w:sz w:val="28"/>
                <w:szCs w:val="28"/>
              </w:rPr>
              <w:t xml:space="preserve"> 100</w:t>
            </w:r>
          </w:p>
        </w:tc>
      </w:tr>
      <w:tr w:rsidR="008A69D5" w:rsidRPr="006545AD" w14:paraId="2766973A" w14:textId="77777777" w:rsidTr="005725BC">
        <w:trPr>
          <w:trHeight w:val="473"/>
          <w:jc w:val="center"/>
        </w:trPr>
        <w:tc>
          <w:tcPr>
            <w:tcW w:w="1802" w:type="pct"/>
            <w:vMerge/>
            <w:tcBorders>
              <w:bottom w:val="nil"/>
              <w:right w:val="nil"/>
            </w:tcBorders>
            <w:shd w:val="clear" w:color="auto" w:fill="auto"/>
            <w:tcMar>
              <w:top w:w="100" w:type="dxa"/>
              <w:left w:w="100" w:type="dxa"/>
              <w:bottom w:w="100" w:type="dxa"/>
              <w:right w:w="100" w:type="dxa"/>
            </w:tcMar>
            <w:vAlign w:val="center"/>
          </w:tcPr>
          <w:p w14:paraId="06F53984" w14:textId="77777777" w:rsidR="008A69D5" w:rsidRPr="006545AD" w:rsidRDefault="008A69D5" w:rsidP="00350DB3">
            <w:pPr>
              <w:spacing w:before="60" w:after="60" w:line="360" w:lineRule="exact"/>
              <w:jc w:val="both"/>
              <w:rPr>
                <w:rFonts w:ascii="Times New Roman" w:eastAsia="Times New Roman" w:hAnsi="Times New Roman" w:cs="Times New Roman"/>
                <w:sz w:val="28"/>
                <w:szCs w:val="28"/>
              </w:rPr>
            </w:pPr>
          </w:p>
        </w:tc>
        <w:tc>
          <w:tcPr>
            <w:tcW w:w="212" w:type="pct"/>
            <w:vMerge/>
            <w:tcBorders>
              <w:bottom w:val="nil"/>
              <w:right w:val="nil"/>
            </w:tcBorders>
            <w:shd w:val="clear" w:color="auto" w:fill="auto"/>
            <w:tcMar>
              <w:top w:w="100" w:type="dxa"/>
              <w:left w:w="100" w:type="dxa"/>
              <w:bottom w:w="100" w:type="dxa"/>
              <w:right w:w="100" w:type="dxa"/>
            </w:tcMar>
            <w:vAlign w:val="center"/>
          </w:tcPr>
          <w:p w14:paraId="08AC2232" w14:textId="77777777" w:rsidR="008A69D5" w:rsidRPr="006545AD" w:rsidRDefault="008A69D5" w:rsidP="00350DB3">
            <w:pPr>
              <w:spacing w:before="60" w:after="60" w:line="360" w:lineRule="exact"/>
              <w:jc w:val="both"/>
              <w:rPr>
                <w:rFonts w:ascii="Times New Roman" w:eastAsia="Times New Roman" w:hAnsi="Times New Roman" w:cs="Times New Roman"/>
                <w:sz w:val="28"/>
                <w:szCs w:val="28"/>
              </w:rPr>
            </w:pPr>
          </w:p>
        </w:tc>
        <w:tc>
          <w:tcPr>
            <w:tcW w:w="2466" w:type="pct"/>
            <w:tcBorders>
              <w:top w:val="nil"/>
              <w:left w:val="nil"/>
              <w:bottom w:val="nil"/>
              <w:right w:val="nil"/>
            </w:tcBorders>
            <w:shd w:val="clear" w:color="auto" w:fill="auto"/>
            <w:tcMar>
              <w:top w:w="100" w:type="dxa"/>
              <w:left w:w="20" w:type="dxa"/>
              <w:bottom w:w="100" w:type="dxa"/>
              <w:right w:w="20" w:type="dxa"/>
            </w:tcMar>
            <w:vAlign w:val="center"/>
          </w:tcPr>
          <w:p w14:paraId="4EA89634" w14:textId="77777777" w:rsidR="008A69D5" w:rsidRPr="006545AD" w:rsidRDefault="008A69D5"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sản phẩm trong nước</w:t>
            </w:r>
          </w:p>
        </w:tc>
        <w:tc>
          <w:tcPr>
            <w:tcW w:w="520" w:type="pct"/>
            <w:vMerge/>
            <w:tcBorders>
              <w:bottom w:val="nil"/>
              <w:right w:val="nil"/>
            </w:tcBorders>
            <w:shd w:val="clear" w:color="auto" w:fill="auto"/>
            <w:tcMar>
              <w:top w:w="100" w:type="dxa"/>
              <w:left w:w="100" w:type="dxa"/>
              <w:bottom w:w="100" w:type="dxa"/>
              <w:right w:w="100" w:type="dxa"/>
            </w:tcMar>
            <w:vAlign w:val="center"/>
          </w:tcPr>
          <w:p w14:paraId="34973204" w14:textId="77777777" w:rsidR="008A69D5" w:rsidRPr="006545AD" w:rsidRDefault="008A69D5" w:rsidP="00350DB3">
            <w:pPr>
              <w:spacing w:before="60" w:after="60" w:line="360" w:lineRule="exact"/>
              <w:jc w:val="both"/>
              <w:rPr>
                <w:rFonts w:ascii="Times New Roman" w:eastAsia="Times New Roman" w:hAnsi="Times New Roman" w:cs="Times New Roman"/>
                <w:sz w:val="28"/>
                <w:szCs w:val="28"/>
              </w:rPr>
            </w:pPr>
          </w:p>
        </w:tc>
      </w:tr>
    </w:tbl>
    <w:p w14:paraId="25C44265"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Kinh tế số là hoạt động kinh tế sử dụng công nghệ số và dữ liệu số làm yếu tố đầu vào chính, sử dụng môi trường số làm không gian hoạt động chính, sử dụng công nghệ thông tin - viễn thông để tăng năng suất lao động, đổi mới mô hình kinh doanh và tối ưu hóa cấu trúc nền kinh tế.</w:t>
      </w:r>
    </w:p>
    <w:p w14:paraId="7533EA9D" w14:textId="77777777" w:rsidR="008A69D5" w:rsidRPr="006545AD" w:rsidRDefault="008A69D5" w:rsidP="00D320C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Kinh tế số bao gồm:</w:t>
      </w:r>
    </w:p>
    <w:p w14:paraId="63BC85A4"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Kinh tế số ICT là hoạt động công nghiệp công nghệ thông tin, điện tử - viễn thông và hoạt động cung cấp dịch vụ viễn thông.</w:t>
      </w:r>
    </w:p>
    <w:p w14:paraId="525FC11D"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Kinh tế số nền tảng là hoạt động kinh tế của các nền tảng số; các hệ thống trực tuyến kết nối giữa cung, cầu và các dịch vụ trực tuyến trên mạng.</w:t>
      </w:r>
    </w:p>
    <w:p w14:paraId="3E805BE3"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Kinh tế số ngành là hoạt động kinh tế số trong các ngành, lĩnh vực.</w:t>
      </w:r>
    </w:p>
    <w:p w14:paraId="5D51F1F3" w14:textId="77777777" w:rsidR="008A69D5" w:rsidRPr="006545AD" w:rsidRDefault="008A69D5" w:rsidP="008A69D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2BBBD2FE"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Ngành kinh tế;</w:t>
      </w:r>
    </w:p>
    <w:p w14:paraId="421D187B" w14:textId="02B840A5" w:rsidR="00125A76" w:rsidRPr="006545AD" w:rsidRDefault="00125A76"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hình kinh tế;</w:t>
      </w:r>
    </w:p>
    <w:p w14:paraId="35F13AB2"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02659642"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Vùng kinh tế - xã hội.</w:t>
      </w:r>
    </w:p>
    <w:p w14:paraId="0E42226B"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1A2F1E72" w14:textId="77777777" w:rsidR="008A69D5" w:rsidRPr="006545AD" w:rsidRDefault="008A69D5" w:rsidP="008A69D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1CAFAF0B"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Tổng điều tra kinh tế;</w:t>
      </w:r>
    </w:p>
    <w:p w14:paraId="1ADAF23E"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doanh nghiệp;</w:t>
      </w:r>
    </w:p>
    <w:p w14:paraId="5C8C05AB"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cơ sở sản xuất kinh doanh cá thể;</w:t>
      </w:r>
    </w:p>
    <w:p w14:paraId="02C26676" w14:textId="77777777" w:rsidR="008A69D5" w:rsidRPr="006545AD" w:rsidRDefault="008A69D5" w:rsidP="008A69D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 Kết quả các cuộc điều tra thống kê trong Chương trình điều tra thống kê quốc gia.</w:t>
      </w:r>
    </w:p>
    <w:p w14:paraId="76E18193" w14:textId="77777777" w:rsidR="008A69D5" w:rsidRPr="006545AD" w:rsidRDefault="008A69D5" w:rsidP="008A69D5">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5. Cơ quan chịu trách nhiệm thu thập, tổng hợp</w:t>
      </w:r>
    </w:p>
    <w:p w14:paraId="4434D3E6"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Kế hoạch và Đầu tư (Tổng cục Thống kê);</w:t>
      </w:r>
    </w:p>
    <w:p w14:paraId="39B1F3E6" w14:textId="77777777" w:rsidR="008A69D5" w:rsidRPr="006545AD" w:rsidRDefault="008A69D5" w:rsidP="008A69D5">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Thông tin và Truyền thông.</w:t>
      </w:r>
    </w:p>
    <w:p w14:paraId="7AB63145" w14:textId="5B5A30C6" w:rsidR="000127B4" w:rsidRPr="006545AD" w:rsidRDefault="008A69D5" w:rsidP="009E1776">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V. Lĩnh vực công nghệ</w:t>
      </w:r>
      <w:r w:rsidRPr="006545AD">
        <w:rPr>
          <w:rFonts w:ascii="Times New Roman" w:eastAsia="Times New Roman" w:hAnsi="Times New Roman" w:cs="Times New Roman"/>
          <w:b/>
          <w:sz w:val="28"/>
          <w:szCs w:val="28"/>
        </w:rPr>
        <w:tab/>
      </w:r>
      <w:r w:rsidR="00E16AE1" w:rsidRPr="006545AD">
        <w:rPr>
          <w:rFonts w:ascii="Times New Roman" w:eastAsia="Times New Roman" w:hAnsi="Times New Roman" w:cs="Times New Roman"/>
          <w:b/>
          <w:sz w:val="28"/>
          <w:szCs w:val="28"/>
        </w:rPr>
        <w:t>2.26</w:t>
      </w:r>
      <w:r w:rsidR="000127B4" w:rsidRPr="006545AD">
        <w:rPr>
          <w:rFonts w:ascii="Times New Roman" w:eastAsia="Times New Roman" w:hAnsi="Times New Roman" w:cs="Times New Roman"/>
          <w:b/>
          <w:sz w:val="28"/>
          <w:szCs w:val="28"/>
        </w:rPr>
        <w:t>. Tỷ lệ doanh nghiệp áp dụng công nghệ sạch, công nghệ tiên tiến, công nghệ cao, phát thải các bon thấp trong sản xuất</w:t>
      </w:r>
    </w:p>
    <w:p w14:paraId="3A8D276B" w14:textId="77777777" w:rsidR="000127B4" w:rsidRPr="006545AD" w:rsidRDefault="000127B4" w:rsidP="000127B4">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542DF761" w14:textId="77777777" w:rsidR="000127B4" w:rsidRPr="006545AD" w:rsidRDefault="000127B4" w:rsidP="000127B4">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Tỷ lệ doanh nghiệp áp dụng công nghệ sạch, công nghệ tiên tiến, công nghệ cao, phát thải các bon thấp trong sản xuất là tỷ lệ phần trăm giữa số doanh nghiệp áp dụng công nghệ sạch, công nghệ tiên tiến, công nghệ cao, phát thải các bon thấp trong sản xuất so với tổng số doanh nghiệp đang hoạt động.</w:t>
      </w:r>
    </w:p>
    <w:p w14:paraId="02783755" w14:textId="77777777" w:rsidR="000127B4" w:rsidRPr="006545AD" w:rsidRDefault="000127B4" w:rsidP="000127B4">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Công nghệ sạch, công nghệ tiên tiến, công nghệ cao, phát thải các bon thấp:</w:t>
      </w:r>
    </w:p>
    <w:p w14:paraId="58EF6B5A"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sạch là công nghệ phát thải ở mức thấp chất gây ô nhiễm môi trường theo quy định của pháp luật về tiêu chuẩn và quy chuẩn kỹ thuật, sử dụng ít tài nguyên không tái tạo hơn so với công nghệ hiện có.</w:t>
      </w:r>
    </w:p>
    <w:p w14:paraId="73F653BB"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tiên tiến là công nghệ có trình độ công nghệ cao hơn trình độ công nghệ cùng loại hiện có tại Việt Nam, đã được ứng dụng trong thực tiễn, nâng cao năng suất, chất lượng sản phẩm vượt trội và thân thiện với môi trường.</w:t>
      </w:r>
    </w:p>
    <w:p w14:paraId="4BF71D53"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Công nghệ cao là công nghệ có hàm lượng cao về nghiên cứu khoa học và phát triển công nghệ; được tích hợp từ thành tựu khoa học và công nghệ hiện đại; tạo ra sản phẩm có chất lượng, tính năng vượt trội, giá trị gia tăng cao, thân thiện với môi trường; có vai trò quan trọng đối với việc hình thành ngành sản xuất, dịch vụ mới hoặc hiện đại hóa ngành sản xuất, dịch vụ hiện có.</w:t>
      </w:r>
    </w:p>
    <w:p w14:paraId="622CE4AC" w14:textId="77777777" w:rsidR="000127B4" w:rsidRPr="006545AD" w:rsidRDefault="000127B4" w:rsidP="000127B4">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Doanh nghiệp áp dụng công nghệ sạch, công nghệ tiên tiến, công nghệ cao, phát thải các bon thấp trong sản xuất là doanh nghiệp áp dụng các công nghệ thuộc danh mục quốc gia tổng hợp các công nghệ sạch, công nghệ tiên tiến, công nghệ cao, phát thải các-bon thấp trong các ngành sản xuất do các cơ quan có thẩm quyền quy định.</w:t>
      </w:r>
    </w:p>
    <w:p w14:paraId="6F4D8D6C" w14:textId="77777777" w:rsidR="000127B4" w:rsidRPr="006545AD" w:rsidRDefault="000127B4" w:rsidP="000127B4">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Công thức tính: </w:t>
      </w:r>
    </w:p>
    <w:tbl>
      <w:tblPr>
        <w:tblStyle w:val="161"/>
        <w:tblW w:w="5000" w:type="pct"/>
        <w:jc w:val="center"/>
        <w:tblBorders>
          <w:top w:val="nil"/>
          <w:left w:val="nil"/>
          <w:bottom w:val="nil"/>
          <w:right w:val="nil"/>
          <w:insideH w:val="nil"/>
          <w:insideV w:val="nil"/>
        </w:tblBorders>
        <w:tblLook w:val="0600" w:firstRow="0" w:lastRow="0" w:firstColumn="0" w:lastColumn="0" w:noHBand="1" w:noVBand="1"/>
      </w:tblPr>
      <w:tblGrid>
        <w:gridCol w:w="2694"/>
        <w:gridCol w:w="708"/>
        <w:gridCol w:w="4786"/>
        <w:gridCol w:w="884"/>
      </w:tblGrid>
      <w:tr w:rsidR="000127B4" w:rsidRPr="006545AD" w14:paraId="2E0577B5" w14:textId="77777777" w:rsidTr="00B307A2">
        <w:trPr>
          <w:trHeight w:val="1286"/>
          <w:jc w:val="center"/>
        </w:trPr>
        <w:tc>
          <w:tcPr>
            <w:tcW w:w="1485" w:type="pct"/>
            <w:vMerge w:val="restart"/>
            <w:tcBorders>
              <w:top w:val="nil"/>
              <w:left w:val="nil"/>
              <w:bottom w:val="nil"/>
              <w:right w:val="nil"/>
            </w:tcBorders>
            <w:tcMar>
              <w:top w:w="100" w:type="dxa"/>
              <w:left w:w="20" w:type="dxa"/>
              <w:bottom w:w="100" w:type="dxa"/>
              <w:right w:w="20" w:type="dxa"/>
            </w:tcMar>
            <w:vAlign w:val="center"/>
          </w:tcPr>
          <w:p w14:paraId="0D375A81" w14:textId="77777777" w:rsidR="000127B4" w:rsidRPr="006545AD" w:rsidRDefault="000127B4" w:rsidP="000127B4">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các doanh nghiệp áp dụng công nghệ sạch, công nghệ tiên tiến, công nghệ cao, phát thải các bon thấp trong sản xuất (%)</w:t>
            </w:r>
          </w:p>
        </w:tc>
        <w:tc>
          <w:tcPr>
            <w:tcW w:w="390" w:type="pct"/>
            <w:vMerge w:val="restart"/>
            <w:tcBorders>
              <w:top w:val="nil"/>
              <w:left w:val="nil"/>
              <w:bottom w:val="nil"/>
              <w:right w:val="nil"/>
            </w:tcBorders>
            <w:tcMar>
              <w:top w:w="100" w:type="dxa"/>
              <w:left w:w="20" w:type="dxa"/>
              <w:bottom w:w="100" w:type="dxa"/>
              <w:right w:w="20" w:type="dxa"/>
            </w:tcMar>
            <w:vAlign w:val="center"/>
          </w:tcPr>
          <w:p w14:paraId="1F97BA7E" w14:textId="77777777" w:rsidR="000127B4" w:rsidRPr="006545AD" w:rsidRDefault="000127B4" w:rsidP="000127B4">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638" w:type="pct"/>
            <w:tcBorders>
              <w:top w:val="nil"/>
              <w:left w:val="nil"/>
              <w:bottom w:val="single" w:sz="8" w:space="0" w:color="000000"/>
              <w:right w:val="nil"/>
            </w:tcBorders>
            <w:tcMar>
              <w:top w:w="100" w:type="dxa"/>
              <w:left w:w="20" w:type="dxa"/>
              <w:bottom w:w="100" w:type="dxa"/>
              <w:right w:w="20" w:type="dxa"/>
            </w:tcMar>
            <w:vAlign w:val="center"/>
          </w:tcPr>
          <w:p w14:paraId="1ADA2D05" w14:textId="77777777" w:rsidR="000127B4" w:rsidRPr="006545AD" w:rsidRDefault="000127B4" w:rsidP="000127B4">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số doanh nghiệp áp dụng công nghệ sạch, công nghệ tiên tiến, công nghệ cao, phát thải các bon thấp trong sản xuất</w:t>
            </w:r>
          </w:p>
        </w:tc>
        <w:tc>
          <w:tcPr>
            <w:tcW w:w="487" w:type="pct"/>
            <w:vMerge w:val="restart"/>
            <w:tcBorders>
              <w:top w:val="nil"/>
              <w:left w:val="nil"/>
              <w:bottom w:val="nil"/>
              <w:right w:val="nil"/>
            </w:tcBorders>
            <w:tcMar>
              <w:top w:w="100" w:type="dxa"/>
              <w:left w:w="20" w:type="dxa"/>
              <w:bottom w:w="100" w:type="dxa"/>
              <w:right w:w="20" w:type="dxa"/>
            </w:tcMar>
            <w:vAlign w:val="center"/>
          </w:tcPr>
          <w:p w14:paraId="3EFDE9F7" w14:textId="77777777" w:rsidR="000127B4" w:rsidRPr="006545AD" w:rsidRDefault="000127B4" w:rsidP="000127B4">
            <w:pPr>
              <w:spacing w:before="60" w:after="60" w:line="360" w:lineRule="exact"/>
              <w:jc w:val="center"/>
              <w:rPr>
                <w:rFonts w:ascii="Times New Roman" w:eastAsia="Times New Roman" w:hAnsi="Times New Roman" w:cs="Times New Roman"/>
                <w:sz w:val="28"/>
                <w:szCs w:val="28"/>
              </w:rPr>
            </w:pPr>
            <w:r w:rsidRPr="006545AD">
              <w:rPr>
                <w:sz w:val="26"/>
                <w:szCs w:val="26"/>
              </w:rPr>
              <w:t>×</w:t>
            </w:r>
            <w:r w:rsidRPr="006545AD">
              <w:rPr>
                <w:rFonts w:ascii="Times New Roman" w:eastAsia="Times New Roman" w:hAnsi="Times New Roman" w:cs="Times New Roman"/>
                <w:sz w:val="28"/>
                <w:szCs w:val="28"/>
              </w:rPr>
              <w:t xml:space="preserve"> 100</w:t>
            </w:r>
          </w:p>
        </w:tc>
      </w:tr>
      <w:tr w:rsidR="000127B4" w:rsidRPr="006545AD" w14:paraId="53A928BC" w14:textId="77777777" w:rsidTr="00B307A2">
        <w:trPr>
          <w:trHeight w:val="1240"/>
          <w:jc w:val="center"/>
        </w:trPr>
        <w:tc>
          <w:tcPr>
            <w:tcW w:w="1485" w:type="pct"/>
            <w:vMerge/>
            <w:tcBorders>
              <w:bottom w:val="nil"/>
              <w:right w:val="nil"/>
            </w:tcBorders>
            <w:shd w:val="clear" w:color="auto" w:fill="auto"/>
            <w:tcMar>
              <w:top w:w="100" w:type="dxa"/>
              <w:left w:w="100" w:type="dxa"/>
              <w:bottom w:w="100" w:type="dxa"/>
              <w:right w:w="100" w:type="dxa"/>
            </w:tcMar>
            <w:vAlign w:val="center"/>
          </w:tcPr>
          <w:p w14:paraId="22CE1F77" w14:textId="77777777" w:rsidR="000127B4" w:rsidRPr="006545AD" w:rsidRDefault="000127B4" w:rsidP="000127B4">
            <w:pPr>
              <w:spacing w:before="60" w:after="60" w:line="360" w:lineRule="exact"/>
              <w:jc w:val="both"/>
              <w:rPr>
                <w:rFonts w:ascii="Times New Roman" w:eastAsia="Times New Roman" w:hAnsi="Times New Roman" w:cs="Times New Roman"/>
                <w:sz w:val="28"/>
                <w:szCs w:val="28"/>
              </w:rPr>
            </w:pPr>
          </w:p>
        </w:tc>
        <w:tc>
          <w:tcPr>
            <w:tcW w:w="390" w:type="pct"/>
            <w:vMerge/>
            <w:tcBorders>
              <w:bottom w:val="nil"/>
              <w:right w:val="nil"/>
            </w:tcBorders>
            <w:shd w:val="clear" w:color="auto" w:fill="auto"/>
            <w:tcMar>
              <w:top w:w="100" w:type="dxa"/>
              <w:left w:w="100" w:type="dxa"/>
              <w:bottom w:w="100" w:type="dxa"/>
              <w:right w:w="100" w:type="dxa"/>
            </w:tcMar>
            <w:vAlign w:val="center"/>
          </w:tcPr>
          <w:p w14:paraId="5899E15C" w14:textId="77777777" w:rsidR="000127B4" w:rsidRPr="006545AD" w:rsidRDefault="000127B4" w:rsidP="000127B4">
            <w:pPr>
              <w:spacing w:before="60" w:after="60" w:line="360" w:lineRule="exact"/>
              <w:jc w:val="both"/>
              <w:rPr>
                <w:rFonts w:ascii="Times New Roman" w:eastAsia="Times New Roman" w:hAnsi="Times New Roman" w:cs="Times New Roman"/>
                <w:sz w:val="28"/>
                <w:szCs w:val="28"/>
              </w:rPr>
            </w:pPr>
          </w:p>
        </w:tc>
        <w:tc>
          <w:tcPr>
            <w:tcW w:w="2638" w:type="pct"/>
            <w:tcBorders>
              <w:top w:val="nil"/>
              <w:left w:val="nil"/>
              <w:bottom w:val="nil"/>
              <w:right w:val="nil"/>
            </w:tcBorders>
            <w:shd w:val="clear" w:color="auto" w:fill="auto"/>
            <w:tcMar>
              <w:top w:w="100" w:type="dxa"/>
              <w:left w:w="20" w:type="dxa"/>
              <w:bottom w:w="100" w:type="dxa"/>
              <w:right w:w="20" w:type="dxa"/>
            </w:tcMar>
            <w:vAlign w:val="center"/>
          </w:tcPr>
          <w:p w14:paraId="22676B0D" w14:textId="77777777" w:rsidR="000127B4" w:rsidRPr="006545AD" w:rsidRDefault="000127B4" w:rsidP="000127B4">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số doanh nghiệp đang hoạt động    </w:t>
            </w:r>
          </w:p>
        </w:tc>
        <w:tc>
          <w:tcPr>
            <w:tcW w:w="487" w:type="pct"/>
            <w:vMerge/>
            <w:tcBorders>
              <w:bottom w:val="nil"/>
              <w:right w:val="nil"/>
            </w:tcBorders>
            <w:shd w:val="clear" w:color="auto" w:fill="auto"/>
            <w:tcMar>
              <w:top w:w="100" w:type="dxa"/>
              <w:left w:w="100" w:type="dxa"/>
              <w:bottom w:w="100" w:type="dxa"/>
              <w:right w:w="100" w:type="dxa"/>
            </w:tcMar>
            <w:vAlign w:val="center"/>
          </w:tcPr>
          <w:p w14:paraId="7482A963" w14:textId="77777777" w:rsidR="000127B4" w:rsidRPr="006545AD" w:rsidRDefault="000127B4" w:rsidP="000127B4">
            <w:pPr>
              <w:spacing w:before="60" w:after="60" w:line="360" w:lineRule="exact"/>
              <w:jc w:val="both"/>
              <w:rPr>
                <w:rFonts w:ascii="Times New Roman" w:eastAsia="Times New Roman" w:hAnsi="Times New Roman" w:cs="Times New Roman"/>
                <w:sz w:val="28"/>
                <w:szCs w:val="28"/>
              </w:rPr>
            </w:pPr>
          </w:p>
        </w:tc>
      </w:tr>
    </w:tbl>
    <w:p w14:paraId="1B8C922F" w14:textId="77777777" w:rsidR="000127B4" w:rsidRPr="006545AD" w:rsidRDefault="000127B4" w:rsidP="000127B4">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7AD0DF66" w14:textId="77777777" w:rsidR="000127B4" w:rsidRPr="006545AD" w:rsidRDefault="000127B4" w:rsidP="000127B4">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 Tỉnh, thành phố trực thuộc Trung ương.</w:t>
      </w:r>
    </w:p>
    <w:p w14:paraId="54B63A3A" w14:textId="07258608" w:rsidR="000127B4" w:rsidRPr="009E1776" w:rsidRDefault="000127B4" w:rsidP="000127B4">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Loại hình kinh tế (Khu vực nhà nước, khu vực ngoài nhà nước và khu vực có vốn đầu tư nước ngoài).</w:t>
      </w:r>
    </w:p>
    <w:p w14:paraId="3A175373" w14:textId="77777777" w:rsidR="000127B4" w:rsidRPr="006545AD" w:rsidRDefault="000127B4" w:rsidP="000127B4">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2BE9454F" w14:textId="77777777" w:rsidR="000127B4" w:rsidRPr="006545AD" w:rsidRDefault="000127B4" w:rsidP="000127B4">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4. Nguồn số liệu: </w:t>
      </w:r>
      <w:r w:rsidRPr="006545AD">
        <w:rPr>
          <w:rFonts w:ascii="Times New Roman" w:eastAsia="Times New Roman" w:hAnsi="Times New Roman" w:cs="Times New Roman"/>
          <w:sz w:val="28"/>
          <w:szCs w:val="28"/>
        </w:rPr>
        <w:t>Điều tra thống kê.</w:t>
      </w:r>
    </w:p>
    <w:p w14:paraId="50D79D31" w14:textId="2F14BC12" w:rsidR="000127B4" w:rsidRPr="006545AD" w:rsidRDefault="000127B4" w:rsidP="000127B4">
      <w:pPr>
        <w:spacing w:before="60" w:after="60" w:line="360" w:lineRule="exact"/>
        <w:ind w:firstLine="720"/>
        <w:jc w:val="both"/>
        <w:rPr>
          <w:rFonts w:ascii="Times New Roman" w:eastAsia="Times New Roman" w:hAnsi="Times New Roman" w:cs="Times New Roman"/>
          <w:spacing w:val="-6"/>
          <w:sz w:val="28"/>
          <w:szCs w:val="28"/>
        </w:rPr>
      </w:pPr>
      <w:r w:rsidRPr="006545AD">
        <w:rPr>
          <w:rFonts w:ascii="Times New Roman" w:eastAsia="Times New Roman" w:hAnsi="Times New Roman" w:cs="Times New Roman"/>
          <w:b/>
          <w:spacing w:val="-4"/>
          <w:sz w:val="28"/>
          <w:szCs w:val="28"/>
        </w:rPr>
        <w:t xml:space="preserve">5. Cơ quan chịu trách nhiệm thu thập, tổng hợp: </w:t>
      </w:r>
      <w:r w:rsidRPr="006545AD">
        <w:rPr>
          <w:rFonts w:ascii="Times New Roman" w:eastAsia="Times New Roman" w:hAnsi="Times New Roman" w:cs="Times New Roman"/>
          <w:spacing w:val="-4"/>
          <w:sz w:val="28"/>
          <w:szCs w:val="28"/>
        </w:rPr>
        <w:t>Bộ Khoa học Công nghệ.</w:t>
      </w:r>
    </w:p>
    <w:p w14:paraId="4F1FCA44" w14:textId="2E0DFF5C" w:rsidR="00AF6456" w:rsidRPr="006545AD" w:rsidRDefault="00781C2A" w:rsidP="00AF6456">
      <w:pPr>
        <w:spacing w:before="24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VI. Lĩnh vực </w:t>
      </w:r>
      <w:r w:rsidR="00E87F73" w:rsidRPr="006545AD">
        <w:rPr>
          <w:rFonts w:ascii="Times New Roman" w:eastAsia="Times New Roman" w:hAnsi="Times New Roman" w:cs="Times New Roman"/>
          <w:b/>
          <w:sz w:val="28"/>
          <w:szCs w:val="28"/>
        </w:rPr>
        <w:t>vốn đầu tư, trái phiếu, tín dụng</w:t>
      </w:r>
    </w:p>
    <w:p w14:paraId="1468D0AE" w14:textId="67E67807" w:rsidR="000127B4" w:rsidRPr="006545AD" w:rsidRDefault="000127B4" w:rsidP="000127B4">
      <w:pPr>
        <w:spacing w:before="6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16AE1" w:rsidRPr="006545AD">
        <w:rPr>
          <w:rFonts w:ascii="Times New Roman" w:eastAsia="Times New Roman" w:hAnsi="Times New Roman" w:cs="Times New Roman"/>
          <w:b/>
          <w:sz w:val="28"/>
          <w:szCs w:val="28"/>
        </w:rPr>
        <w:t>2.27</w:t>
      </w:r>
      <w:r w:rsidRPr="006545AD">
        <w:rPr>
          <w:rFonts w:ascii="Times New Roman" w:eastAsia="Times New Roman" w:hAnsi="Times New Roman" w:cs="Times New Roman"/>
          <w:b/>
          <w:sz w:val="28"/>
          <w:szCs w:val="28"/>
        </w:rPr>
        <w:t>. Tỷ lệ vốn đầu tư công xanh so với tổng vốn đầu tư công</w:t>
      </w:r>
    </w:p>
    <w:p w14:paraId="141A5890" w14:textId="77777777" w:rsidR="000127B4" w:rsidRPr="006545AD" w:rsidRDefault="000127B4" w:rsidP="000127B4">
      <w:pPr>
        <w:spacing w:before="6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51C44C60"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Vốn đầu tư công xanh là các khoản vốn đầu tư theo kế hoạch của Nhà nước vào các chương trình, dự án đầu tư xanh. Số liệu vốn đầu tư công xanh là số kế hoạch về vốn đầu tư công xanh trong năm.</w:t>
      </w:r>
    </w:p>
    <w:p w14:paraId="72B2E453"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Đầu tư công là hoạt động đầu tư của Nhà nước vào các chương trình, dự án và đối tượng đầu tư công khác theo quy định. Số liệu tổng vốn đầu tư công là số liệu kế hoạch về phân bổ vốn đầu tư công trong năm.</w:t>
      </w:r>
    </w:p>
    <w:p w14:paraId="53EE421B"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Hoạt động đầu tư công bao gồm lập, thẩm định, quyết định chủ trương đầu tư; lập, thẩm định, quyết định chương trình, dự án đầu tư công; lập, thẩm định, phê </w:t>
      </w:r>
      <w:r w:rsidRPr="006545AD">
        <w:rPr>
          <w:rFonts w:ascii="Times New Roman" w:eastAsia="Times New Roman" w:hAnsi="Times New Roman" w:cs="Times New Roman"/>
          <w:spacing w:val="-2"/>
          <w:sz w:val="28"/>
          <w:szCs w:val="28"/>
        </w:rPr>
        <w:t>duyệt, giao, triển khai thực hiện kế hoạch, dự án đầu tư công; quản lý, sử dụng vốn đầu tư công; nghiệm thu, bàn giao chương trình, quyết toán dự án đầu tư công; theo dõi và đánh giá, kiểm tra, thanh tra kế hoạch, chương trình, dự án đầu tư công.</w:t>
      </w:r>
    </w:p>
    <w:p w14:paraId="766AECAF"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Các chương trình, dự án đầu tư công xanh là các dự án được thiết kế, thi công, vận hành và bảo dưỡng theo hướng thân thiện với môi trường, sử dụng tiết kiệm và hiệu quả tài nguyên, đồng thời đảm bảo chất lượng môi trường, đáp ứng các điều kiện tiện nghi và sức khỏe cho người sử dụng. Những yếu tố chính góp phần tạo nên một công trình xanh bao gồm: hiệu quả sử dụng năng lượng, hiệu quả sử dụng nước, chất lượng môi trường bên trong, hiệu quả sử dụng vật liệu xây dựng và các ảnh hưởng khác của công trình xây dựng đến môi trường xung quanh.</w:t>
      </w:r>
    </w:p>
    <w:p w14:paraId="7F06DE78"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181"/>
        <w:tblW w:w="8566" w:type="dxa"/>
        <w:jc w:val="center"/>
        <w:tblLayout w:type="fixed"/>
        <w:tblLook w:val="0600" w:firstRow="0" w:lastRow="0" w:firstColumn="0" w:lastColumn="0" w:noHBand="1" w:noVBand="1"/>
      </w:tblPr>
      <w:tblGrid>
        <w:gridCol w:w="3544"/>
        <w:gridCol w:w="709"/>
        <w:gridCol w:w="3498"/>
        <w:gridCol w:w="815"/>
      </w:tblGrid>
      <w:tr w:rsidR="000127B4" w:rsidRPr="006545AD" w14:paraId="369EB60A" w14:textId="77777777" w:rsidTr="00B307A2">
        <w:trPr>
          <w:trHeight w:val="44"/>
          <w:jc w:val="center"/>
        </w:trPr>
        <w:tc>
          <w:tcPr>
            <w:tcW w:w="3544" w:type="dxa"/>
            <w:vMerge w:val="restart"/>
            <w:tcMar>
              <w:top w:w="100" w:type="dxa"/>
              <w:left w:w="20" w:type="dxa"/>
              <w:bottom w:w="100" w:type="dxa"/>
              <w:right w:w="20" w:type="dxa"/>
            </w:tcMar>
            <w:vAlign w:val="center"/>
          </w:tcPr>
          <w:p w14:paraId="4591AD2F" w14:textId="77777777" w:rsidR="000127B4" w:rsidRPr="006545AD" w:rsidRDefault="000127B4" w:rsidP="000127B4">
            <w:pPr>
              <w:spacing w:before="60" w:after="60" w:line="360" w:lineRule="exact"/>
              <w:ind w:hanging="25"/>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vốn đầu tư công xanh so với tổng vốn đầu tư công (%)</w:t>
            </w:r>
          </w:p>
        </w:tc>
        <w:tc>
          <w:tcPr>
            <w:tcW w:w="709" w:type="dxa"/>
            <w:vMerge w:val="restart"/>
            <w:tcMar>
              <w:top w:w="100" w:type="dxa"/>
              <w:left w:w="20" w:type="dxa"/>
              <w:bottom w:w="100" w:type="dxa"/>
              <w:right w:w="20" w:type="dxa"/>
            </w:tcMar>
            <w:vAlign w:val="center"/>
          </w:tcPr>
          <w:p w14:paraId="00ADCD34" w14:textId="77777777" w:rsidR="000127B4" w:rsidRPr="006545AD" w:rsidRDefault="000127B4" w:rsidP="000127B4">
            <w:pPr>
              <w:spacing w:before="60" w:after="60" w:line="360" w:lineRule="exact"/>
              <w:ind w:firstLine="406"/>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3498" w:type="dxa"/>
            <w:tcBorders>
              <w:bottom w:val="single" w:sz="4" w:space="0" w:color="auto"/>
            </w:tcBorders>
            <w:tcMar>
              <w:top w:w="100" w:type="dxa"/>
              <w:left w:w="20" w:type="dxa"/>
              <w:bottom w:w="100" w:type="dxa"/>
              <w:right w:w="20" w:type="dxa"/>
            </w:tcMar>
            <w:vAlign w:val="center"/>
          </w:tcPr>
          <w:p w14:paraId="26A5F14D"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Vốn đầu tư công xanh</w:t>
            </w:r>
          </w:p>
        </w:tc>
        <w:tc>
          <w:tcPr>
            <w:tcW w:w="815" w:type="dxa"/>
            <w:vMerge w:val="restart"/>
            <w:tcMar>
              <w:top w:w="100" w:type="dxa"/>
              <w:left w:w="20" w:type="dxa"/>
              <w:bottom w:w="100" w:type="dxa"/>
              <w:right w:w="20" w:type="dxa"/>
            </w:tcMar>
            <w:vAlign w:val="center"/>
          </w:tcPr>
          <w:p w14:paraId="4726CD4C" w14:textId="77777777" w:rsidR="000127B4" w:rsidRPr="006545AD" w:rsidRDefault="000127B4" w:rsidP="000127B4">
            <w:pPr>
              <w:spacing w:before="60" w:after="60" w:line="360" w:lineRule="exact"/>
              <w:ind w:firstLine="123"/>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100</w:t>
            </w:r>
          </w:p>
        </w:tc>
      </w:tr>
      <w:tr w:rsidR="000127B4" w:rsidRPr="006545AD" w14:paraId="2360EE19" w14:textId="77777777" w:rsidTr="00B307A2">
        <w:trPr>
          <w:trHeight w:val="613"/>
          <w:jc w:val="center"/>
        </w:trPr>
        <w:tc>
          <w:tcPr>
            <w:tcW w:w="3544" w:type="dxa"/>
            <w:vMerge/>
            <w:shd w:val="clear" w:color="auto" w:fill="auto"/>
            <w:tcMar>
              <w:top w:w="100" w:type="dxa"/>
              <w:left w:w="100" w:type="dxa"/>
              <w:bottom w:w="100" w:type="dxa"/>
              <w:right w:w="100" w:type="dxa"/>
            </w:tcMar>
            <w:vAlign w:val="center"/>
          </w:tcPr>
          <w:p w14:paraId="01BA5C21"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p>
        </w:tc>
        <w:tc>
          <w:tcPr>
            <w:tcW w:w="709" w:type="dxa"/>
            <w:vMerge/>
            <w:shd w:val="clear" w:color="auto" w:fill="auto"/>
            <w:tcMar>
              <w:top w:w="100" w:type="dxa"/>
              <w:left w:w="100" w:type="dxa"/>
              <w:bottom w:w="100" w:type="dxa"/>
              <w:right w:w="100" w:type="dxa"/>
            </w:tcMar>
            <w:vAlign w:val="center"/>
          </w:tcPr>
          <w:p w14:paraId="656CFDD5"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p>
        </w:tc>
        <w:tc>
          <w:tcPr>
            <w:tcW w:w="3498" w:type="dxa"/>
            <w:tcBorders>
              <w:top w:val="single" w:sz="4" w:space="0" w:color="auto"/>
            </w:tcBorders>
            <w:shd w:val="clear" w:color="auto" w:fill="auto"/>
            <w:tcMar>
              <w:top w:w="100" w:type="dxa"/>
              <w:left w:w="20" w:type="dxa"/>
              <w:bottom w:w="100" w:type="dxa"/>
              <w:right w:w="20" w:type="dxa"/>
            </w:tcMar>
            <w:vAlign w:val="center"/>
          </w:tcPr>
          <w:p w14:paraId="2152B5CA"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vốn đầu tư công</w:t>
            </w:r>
          </w:p>
        </w:tc>
        <w:tc>
          <w:tcPr>
            <w:tcW w:w="815" w:type="dxa"/>
            <w:vMerge/>
            <w:shd w:val="clear" w:color="auto" w:fill="auto"/>
            <w:tcMar>
              <w:top w:w="100" w:type="dxa"/>
              <w:left w:w="100" w:type="dxa"/>
              <w:bottom w:w="100" w:type="dxa"/>
              <w:right w:w="100" w:type="dxa"/>
            </w:tcMar>
            <w:vAlign w:val="center"/>
          </w:tcPr>
          <w:p w14:paraId="7D14D5F4" w14:textId="77777777" w:rsidR="000127B4" w:rsidRPr="006545AD" w:rsidRDefault="000127B4" w:rsidP="000127B4">
            <w:pPr>
              <w:spacing w:before="60" w:after="60" w:line="360" w:lineRule="exact"/>
              <w:ind w:firstLine="709"/>
              <w:jc w:val="both"/>
              <w:rPr>
                <w:rFonts w:ascii="Times New Roman" w:eastAsia="Times New Roman" w:hAnsi="Times New Roman" w:cs="Times New Roman"/>
                <w:sz w:val="28"/>
                <w:szCs w:val="28"/>
              </w:rPr>
            </w:pPr>
          </w:p>
        </w:tc>
      </w:tr>
    </w:tbl>
    <w:p w14:paraId="589B03AE" w14:textId="77777777" w:rsidR="000127B4" w:rsidRPr="006545AD" w:rsidRDefault="000127B4" w:rsidP="000127B4">
      <w:pPr>
        <w:spacing w:before="6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4DE918CE" w14:textId="77777777" w:rsidR="000127B4" w:rsidRPr="006545AD" w:rsidRDefault="000127B4" w:rsidP="000127B4">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Nguồn vốn: </w:t>
      </w:r>
      <w:r w:rsidRPr="006545AD">
        <w:rPr>
          <w:rFonts w:ascii="Times New Roman" w:eastAsia="Times New Roman" w:hAnsi="Times New Roman" w:cs="Times New Roman"/>
          <w:sz w:val="28"/>
          <w:szCs w:val="28"/>
          <w:lang w:val="en-US"/>
        </w:rPr>
        <w:t>Trung ương</w:t>
      </w:r>
      <w:r w:rsidRPr="006545AD">
        <w:rPr>
          <w:rFonts w:ascii="Times New Roman" w:eastAsia="Times New Roman" w:hAnsi="Times New Roman" w:cs="Times New Roman"/>
          <w:sz w:val="28"/>
          <w:szCs w:val="28"/>
        </w:rPr>
        <w:t xml:space="preserve"> (Bộ, ngành), địa phương;</w:t>
      </w:r>
    </w:p>
    <w:p w14:paraId="02697493" w14:textId="77777777" w:rsidR="000127B4" w:rsidRPr="006545AD" w:rsidRDefault="000127B4" w:rsidP="000127B4">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thành phố trực thuộc </w:t>
      </w:r>
      <w:r w:rsidRPr="006545AD">
        <w:rPr>
          <w:rFonts w:ascii="Times New Roman" w:eastAsia="Times New Roman" w:hAnsi="Times New Roman" w:cs="Times New Roman"/>
          <w:sz w:val="28"/>
          <w:szCs w:val="28"/>
          <w:lang w:val="en-US"/>
        </w:rPr>
        <w:t>Trung ương</w:t>
      </w:r>
      <w:r w:rsidRPr="006545AD">
        <w:rPr>
          <w:rFonts w:ascii="Times New Roman" w:eastAsia="Times New Roman" w:hAnsi="Times New Roman" w:cs="Times New Roman"/>
          <w:sz w:val="28"/>
          <w:szCs w:val="28"/>
        </w:rPr>
        <w:t>;</w:t>
      </w:r>
    </w:p>
    <w:p w14:paraId="22A9E7CC" w14:textId="77777777" w:rsidR="000127B4" w:rsidRPr="006545AD" w:rsidRDefault="000127B4" w:rsidP="000127B4">
      <w:pPr>
        <w:spacing w:before="60" w:after="60" w:line="38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 Lĩnh vực đầu tư: kết cấu hạ tầng giao thông, năng lượng, thủy lợi, phát triển công nghiệp sản xuất vật liệu xanh, công trình xây dựng, xử lý rác thải, nước thải và lĩnh vực khác.</w:t>
      </w:r>
    </w:p>
    <w:p w14:paraId="6B2E4005" w14:textId="77777777" w:rsidR="000127B4" w:rsidRPr="006545AD" w:rsidRDefault="000127B4" w:rsidP="000127B4">
      <w:pPr>
        <w:spacing w:before="60" w:after="60" w:line="38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685AF886" w14:textId="77777777" w:rsidR="000127B4" w:rsidRPr="006545AD" w:rsidRDefault="000127B4" w:rsidP="000127B4">
      <w:pPr>
        <w:spacing w:before="60" w:after="60" w:line="38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4. Nguồn số liệu: </w:t>
      </w:r>
      <w:r w:rsidRPr="006545AD">
        <w:rPr>
          <w:rFonts w:ascii="Times New Roman" w:eastAsia="Times New Roman" w:hAnsi="Times New Roman" w:cs="Times New Roman"/>
          <w:sz w:val="28"/>
          <w:szCs w:val="28"/>
        </w:rPr>
        <w:t>Dữ liệu hành chính.</w:t>
      </w:r>
    </w:p>
    <w:p w14:paraId="22576598" w14:textId="504E4304" w:rsidR="000127B4" w:rsidRPr="009E1776" w:rsidRDefault="000127B4" w:rsidP="005725BC">
      <w:pPr>
        <w:spacing w:before="60" w:after="60" w:line="380" w:lineRule="exact"/>
        <w:ind w:firstLine="709"/>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 xml:space="preserve">5. Cơ quan chịu trách nhiệm thu thập, tổng hợp: </w:t>
      </w:r>
      <w:r w:rsidRPr="006545AD">
        <w:rPr>
          <w:rFonts w:ascii="Times New Roman" w:eastAsia="Times New Roman" w:hAnsi="Times New Roman" w:cs="Times New Roman"/>
          <w:spacing w:val="-4"/>
          <w:sz w:val="28"/>
          <w:szCs w:val="28"/>
        </w:rPr>
        <w:t>Bộ Kế hoạch và Đầu tư (Vụ Tổng hợp kinh tế quốc dân).</w:t>
      </w:r>
    </w:p>
    <w:p w14:paraId="23831401" w14:textId="6A0A47AF" w:rsidR="00781C2A" w:rsidRPr="006545AD" w:rsidRDefault="00781C2A" w:rsidP="005725BC">
      <w:pPr>
        <w:spacing w:before="60" w:after="60" w:line="38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2.2</w:t>
      </w:r>
      <w:r w:rsidR="00E16AE1" w:rsidRPr="006545AD">
        <w:rPr>
          <w:rFonts w:ascii="Times New Roman" w:eastAsia="Times New Roman" w:hAnsi="Times New Roman" w:cs="Times New Roman"/>
          <w:b/>
          <w:sz w:val="28"/>
          <w:szCs w:val="28"/>
        </w:rPr>
        <w:t>8</w:t>
      </w:r>
      <w:r w:rsidRPr="006545AD">
        <w:rPr>
          <w:rFonts w:ascii="Times New Roman" w:eastAsia="Times New Roman" w:hAnsi="Times New Roman" w:cs="Times New Roman"/>
          <w:b/>
          <w:sz w:val="28"/>
          <w:szCs w:val="28"/>
        </w:rPr>
        <w:t>. Tỷ lệ vốn đầu tư thực hiện cho sản xuất điện từ năng lượng tái tạo so với vốn đầu tư thực hiện toàn xã hội</w:t>
      </w:r>
    </w:p>
    <w:p w14:paraId="76A32C13" w14:textId="77777777" w:rsidR="00781C2A" w:rsidRPr="006545AD" w:rsidRDefault="00781C2A" w:rsidP="005725BC">
      <w:pPr>
        <w:spacing w:before="60" w:after="60" w:line="38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1. Khái niệm, phương pháp tính</w:t>
      </w:r>
    </w:p>
    <w:p w14:paraId="6CDEBA34" w14:textId="77777777" w:rsidR="00781C2A" w:rsidRPr="006545AD" w:rsidRDefault="00781C2A" w:rsidP="005725BC">
      <w:pPr>
        <w:spacing w:before="60" w:after="60" w:line="38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Tỷ lệ vốn đầu tư thực hiện cho sản xuất điện từ năng lượng tái tạo so với vốn đầu tư thực hiện toàn xã hội là tỷ lệ phần trăm giữa tổng số vốn đầu tư thực hiện để sản xuất điện từ năng lượng tái tạo so với tổng số vốn đầu tư thực hiện toàn xã hội.</w:t>
      </w:r>
    </w:p>
    <w:p w14:paraId="379A4CE9" w14:textId="3596007A" w:rsidR="00781C2A" w:rsidRPr="006545AD" w:rsidRDefault="00781C2A" w:rsidP="005725BC">
      <w:pPr>
        <w:spacing w:before="60" w:after="60" w:line="34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Vốn đầu tư thực hiện cho sản xuất điện từ năng lượng tái tạo là toàn bộ số tiền chi ra để làm tăng hoặc duy trì năng lực sản xuất điện từ năng lượng tái tạo.</w:t>
      </w:r>
    </w:p>
    <w:p w14:paraId="35854F67" w14:textId="77777777" w:rsidR="00781C2A" w:rsidRPr="006545AD" w:rsidRDefault="00781C2A" w:rsidP="005725BC">
      <w:pPr>
        <w:spacing w:before="60" w:after="60" w:line="34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Vốn đầu tư thực hiện toàn xã hội là toàn bộ tiền vốn chi ra (chi tiêu) để làm tăng hoặc duy trì năng lực sản xuất và nguồn lực để nâng cao mức sống vật chất và tinh thần của toàn xã hội trong một thời kỳ nhất định (tháng, quý, năm). Tổng vốn đầu tư thực hiện toàn xã hội bao gồm: Vốn đầu tư tạo ra tài sản cố định, vốn đầu tư làm tăng tài sản lưu động, vốn đầu tư thực hiện khác gồm tất cả các khoản đầu tư của xã hội nhằm tăng năng lực phát triển của xã hội.</w:t>
      </w:r>
    </w:p>
    <w:p w14:paraId="5643E434" w14:textId="57AA6F41" w:rsidR="00781C2A" w:rsidRPr="006545AD" w:rsidRDefault="00781C2A" w:rsidP="005725BC">
      <w:pPr>
        <w:spacing w:before="60" w:after="60" w:line="34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Trên phạm vi quốc gia, vốn đầu tư thực hiện toàn xã hội không gồm những khoản đầu tư có tính chất chuyển nhượng quyền sử dụng hoặc quyền sở hữu giữa các cá nhân, hộ dân cư, các doanh nghiệp, tổ chức… nhưng không làm tăng tài sản cố định, tài sản lưu động của toàn bộ nền kinh tế trong phạm vi cả nước, như: chuyển nhượng đất đai, nhà ở, cửa hàng, thiết bị máy móc và các tài sản cố định khác đã qua sử dụng.</w:t>
      </w:r>
    </w:p>
    <w:p w14:paraId="05968B2A" w14:textId="4BF6D732" w:rsidR="00781C2A" w:rsidRPr="006545AD" w:rsidRDefault="00781C2A" w:rsidP="00781C2A">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p>
    <w:tbl>
      <w:tblPr>
        <w:tblStyle w:val="21"/>
        <w:tblW w:w="4925" w:type="pct"/>
        <w:jc w:val="center"/>
        <w:tblBorders>
          <w:top w:val="nil"/>
          <w:left w:val="nil"/>
          <w:bottom w:val="nil"/>
          <w:right w:val="nil"/>
          <w:insideH w:val="nil"/>
          <w:insideV w:val="nil"/>
        </w:tblBorders>
        <w:tblLook w:val="0600" w:firstRow="0" w:lastRow="0" w:firstColumn="0" w:lastColumn="0" w:noHBand="1" w:noVBand="1"/>
      </w:tblPr>
      <w:tblGrid>
        <w:gridCol w:w="3230"/>
        <w:gridCol w:w="777"/>
        <w:gridCol w:w="3791"/>
        <w:gridCol w:w="1138"/>
      </w:tblGrid>
      <w:tr w:rsidR="00781C2A" w:rsidRPr="006545AD" w14:paraId="14F7DA15" w14:textId="77777777" w:rsidTr="005725BC">
        <w:trPr>
          <w:trHeight w:val="62"/>
          <w:jc w:val="center"/>
        </w:trPr>
        <w:tc>
          <w:tcPr>
            <w:tcW w:w="1807" w:type="pct"/>
            <w:vMerge w:val="restart"/>
            <w:tcBorders>
              <w:top w:val="nil"/>
              <w:left w:val="nil"/>
              <w:bottom w:val="nil"/>
              <w:right w:val="nil"/>
            </w:tcBorders>
            <w:tcMar>
              <w:top w:w="100" w:type="dxa"/>
              <w:left w:w="20" w:type="dxa"/>
              <w:bottom w:w="100" w:type="dxa"/>
              <w:right w:w="20" w:type="dxa"/>
            </w:tcMar>
            <w:vAlign w:val="center"/>
          </w:tcPr>
          <w:p w14:paraId="7B658FCA" w14:textId="25D0D078" w:rsidR="00781C2A" w:rsidRPr="006545AD" w:rsidRDefault="00781C2A" w:rsidP="005725BC">
            <w:pPr>
              <w:spacing w:before="60" w:after="60" w:line="320" w:lineRule="exact"/>
              <w:ind w:hanging="20"/>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vốn đầu tư thực hiện cho sản xuất điện từ NLTT so với tổng vốn đầu tư thực hiện toàn xã hội (%)</w:t>
            </w:r>
          </w:p>
        </w:tc>
        <w:tc>
          <w:tcPr>
            <w:tcW w:w="435" w:type="pct"/>
            <w:vMerge w:val="restart"/>
            <w:tcBorders>
              <w:top w:val="nil"/>
              <w:left w:val="nil"/>
              <w:bottom w:val="nil"/>
              <w:right w:val="nil"/>
            </w:tcBorders>
            <w:tcMar>
              <w:top w:w="100" w:type="dxa"/>
              <w:left w:w="20" w:type="dxa"/>
              <w:bottom w:w="100" w:type="dxa"/>
              <w:right w:w="20" w:type="dxa"/>
            </w:tcMar>
            <w:vAlign w:val="center"/>
          </w:tcPr>
          <w:p w14:paraId="024A27CE" w14:textId="77777777" w:rsidR="00781C2A" w:rsidRPr="006545AD" w:rsidRDefault="00781C2A" w:rsidP="005725BC">
            <w:pPr>
              <w:spacing w:before="60" w:after="60" w:line="320" w:lineRule="exact"/>
              <w:ind w:firstLine="267"/>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121" w:type="pct"/>
            <w:tcBorders>
              <w:top w:val="nil"/>
              <w:left w:val="nil"/>
              <w:bottom w:val="single" w:sz="8" w:space="0" w:color="000000"/>
              <w:right w:val="nil"/>
            </w:tcBorders>
            <w:tcMar>
              <w:top w:w="100" w:type="dxa"/>
              <w:left w:w="20" w:type="dxa"/>
              <w:bottom w:w="100" w:type="dxa"/>
              <w:right w:w="20" w:type="dxa"/>
            </w:tcMar>
            <w:vAlign w:val="center"/>
          </w:tcPr>
          <w:p w14:paraId="71E5C135" w14:textId="77777777" w:rsidR="00781C2A" w:rsidRPr="006545AD" w:rsidRDefault="00781C2A" w:rsidP="005725BC">
            <w:pPr>
              <w:spacing w:before="60" w:after="60" w:line="32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Vốn đầu tư thực hiện cho sản xuất điện từ năng lượng tái tạo</w:t>
            </w:r>
          </w:p>
        </w:tc>
        <w:tc>
          <w:tcPr>
            <w:tcW w:w="637" w:type="pct"/>
            <w:vMerge w:val="restart"/>
            <w:tcBorders>
              <w:top w:val="nil"/>
              <w:left w:val="nil"/>
              <w:right w:val="nil"/>
            </w:tcBorders>
            <w:vAlign w:val="center"/>
          </w:tcPr>
          <w:p w14:paraId="1631F104" w14:textId="56DA5732" w:rsidR="00781C2A" w:rsidRPr="006545AD" w:rsidRDefault="00A339A7" w:rsidP="005725BC">
            <w:pPr>
              <w:spacing w:before="60" w:after="60" w:line="320" w:lineRule="exact"/>
              <w:ind w:firstLine="252"/>
              <w:jc w:val="both"/>
              <w:rPr>
                <w:rFonts w:ascii="Times New Roman" w:eastAsia="Times New Roman" w:hAnsi="Times New Roman" w:cs="Times New Roman"/>
                <w:sz w:val="28"/>
                <w:szCs w:val="28"/>
              </w:rPr>
            </w:pPr>
            <w:r w:rsidRPr="006545AD">
              <w:rPr>
                <w:sz w:val="26"/>
                <w:szCs w:val="26"/>
              </w:rPr>
              <w:t>×</w:t>
            </w:r>
            <w:r w:rsidR="00781C2A" w:rsidRPr="006545AD">
              <w:rPr>
                <w:rFonts w:ascii="Times New Roman" w:eastAsia="Times New Roman" w:hAnsi="Times New Roman" w:cs="Times New Roman"/>
                <w:sz w:val="28"/>
                <w:szCs w:val="28"/>
              </w:rPr>
              <w:t xml:space="preserve"> 100</w:t>
            </w:r>
          </w:p>
        </w:tc>
      </w:tr>
      <w:tr w:rsidR="00781C2A" w:rsidRPr="006545AD" w14:paraId="696C0427" w14:textId="77777777" w:rsidTr="005725BC">
        <w:trPr>
          <w:trHeight w:val="785"/>
          <w:jc w:val="center"/>
        </w:trPr>
        <w:tc>
          <w:tcPr>
            <w:tcW w:w="1807" w:type="pct"/>
            <w:vMerge/>
            <w:tcBorders>
              <w:bottom w:val="nil"/>
              <w:right w:val="nil"/>
            </w:tcBorders>
            <w:shd w:val="clear" w:color="auto" w:fill="auto"/>
            <w:tcMar>
              <w:top w:w="100" w:type="dxa"/>
              <w:left w:w="100" w:type="dxa"/>
              <w:bottom w:w="100" w:type="dxa"/>
              <w:right w:w="100" w:type="dxa"/>
            </w:tcMar>
            <w:vAlign w:val="center"/>
          </w:tcPr>
          <w:p w14:paraId="037610E1" w14:textId="77777777" w:rsidR="00781C2A" w:rsidRPr="006545AD" w:rsidRDefault="00781C2A" w:rsidP="005725BC">
            <w:pPr>
              <w:spacing w:before="60" w:after="60" w:line="320" w:lineRule="exact"/>
              <w:ind w:firstLine="709"/>
              <w:jc w:val="both"/>
              <w:rPr>
                <w:rFonts w:ascii="Times New Roman" w:eastAsia="Times New Roman" w:hAnsi="Times New Roman" w:cs="Times New Roman"/>
                <w:b/>
                <w:sz w:val="28"/>
                <w:szCs w:val="28"/>
              </w:rPr>
            </w:pPr>
          </w:p>
        </w:tc>
        <w:tc>
          <w:tcPr>
            <w:tcW w:w="435" w:type="pct"/>
            <w:vMerge/>
            <w:tcBorders>
              <w:bottom w:val="nil"/>
              <w:right w:val="nil"/>
            </w:tcBorders>
            <w:shd w:val="clear" w:color="auto" w:fill="auto"/>
            <w:tcMar>
              <w:top w:w="100" w:type="dxa"/>
              <w:left w:w="100" w:type="dxa"/>
              <w:bottom w:w="100" w:type="dxa"/>
              <w:right w:w="100" w:type="dxa"/>
            </w:tcMar>
            <w:vAlign w:val="center"/>
          </w:tcPr>
          <w:p w14:paraId="63723285" w14:textId="77777777" w:rsidR="00781C2A" w:rsidRPr="006545AD" w:rsidRDefault="00781C2A" w:rsidP="005725BC">
            <w:pPr>
              <w:spacing w:before="60" w:after="60" w:line="320" w:lineRule="exact"/>
              <w:ind w:firstLine="709"/>
              <w:jc w:val="both"/>
              <w:rPr>
                <w:rFonts w:ascii="Times New Roman" w:eastAsia="Times New Roman" w:hAnsi="Times New Roman" w:cs="Times New Roman"/>
                <w:b/>
                <w:sz w:val="28"/>
                <w:szCs w:val="28"/>
              </w:rPr>
            </w:pPr>
          </w:p>
        </w:tc>
        <w:tc>
          <w:tcPr>
            <w:tcW w:w="2121" w:type="pct"/>
            <w:tcBorders>
              <w:top w:val="nil"/>
              <w:left w:val="nil"/>
              <w:bottom w:val="nil"/>
              <w:right w:val="nil"/>
            </w:tcBorders>
            <w:shd w:val="clear" w:color="auto" w:fill="auto"/>
            <w:tcMar>
              <w:top w:w="100" w:type="dxa"/>
              <w:left w:w="20" w:type="dxa"/>
              <w:bottom w:w="100" w:type="dxa"/>
              <w:right w:w="20" w:type="dxa"/>
            </w:tcMar>
            <w:vAlign w:val="center"/>
          </w:tcPr>
          <w:p w14:paraId="2F090DA8" w14:textId="77777777" w:rsidR="00781C2A" w:rsidRPr="006545AD" w:rsidRDefault="00781C2A" w:rsidP="005725BC">
            <w:pPr>
              <w:spacing w:before="60" w:after="60" w:line="32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Vốn đầu tư thực hiện toàn xã hội</w:t>
            </w:r>
          </w:p>
        </w:tc>
        <w:tc>
          <w:tcPr>
            <w:tcW w:w="637" w:type="pct"/>
            <w:vMerge/>
            <w:tcBorders>
              <w:left w:val="nil"/>
              <w:bottom w:val="nil"/>
              <w:right w:val="nil"/>
            </w:tcBorders>
            <w:vAlign w:val="center"/>
          </w:tcPr>
          <w:p w14:paraId="095DAABF" w14:textId="77777777" w:rsidR="00781C2A" w:rsidRPr="006545AD" w:rsidRDefault="00781C2A" w:rsidP="005725BC">
            <w:pPr>
              <w:spacing w:before="60" w:after="60" w:line="320" w:lineRule="exact"/>
              <w:ind w:firstLine="709"/>
              <w:jc w:val="both"/>
              <w:rPr>
                <w:rFonts w:ascii="Times New Roman" w:eastAsia="Times New Roman" w:hAnsi="Times New Roman" w:cs="Times New Roman"/>
                <w:sz w:val="28"/>
                <w:szCs w:val="28"/>
              </w:rPr>
            </w:pPr>
          </w:p>
        </w:tc>
      </w:tr>
    </w:tbl>
    <w:p w14:paraId="6FE830CB" w14:textId="77777777" w:rsidR="00781C2A" w:rsidRPr="006545AD" w:rsidRDefault="00781C2A" w:rsidP="00781C2A">
      <w:pPr>
        <w:spacing w:before="6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39A4D9C7" w14:textId="77777777" w:rsidR="00781C2A" w:rsidRPr="006545AD" w:rsidRDefault="00781C2A" w:rsidP="00781C2A">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Nguồn vốn đầu tư;</w:t>
      </w:r>
    </w:p>
    <w:p w14:paraId="04436EDA" w14:textId="77777777" w:rsidR="00781C2A" w:rsidRPr="006545AD" w:rsidRDefault="00781C2A" w:rsidP="00781C2A">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Loại năng lượng tái tạo.</w:t>
      </w:r>
    </w:p>
    <w:p w14:paraId="2A006695" w14:textId="77777777" w:rsidR="00781C2A" w:rsidRPr="006545AD" w:rsidRDefault="00781C2A" w:rsidP="00781C2A">
      <w:pPr>
        <w:spacing w:before="6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 xml:space="preserve">3. Kỳ công bố: </w:t>
      </w:r>
      <w:r w:rsidRPr="006545AD">
        <w:rPr>
          <w:rFonts w:ascii="Times New Roman" w:eastAsia="Times New Roman" w:hAnsi="Times New Roman" w:cs="Times New Roman"/>
          <w:sz w:val="28"/>
          <w:szCs w:val="28"/>
        </w:rPr>
        <w:t>Năm.</w:t>
      </w:r>
    </w:p>
    <w:p w14:paraId="6C6C1D3F" w14:textId="77777777" w:rsidR="00781C2A" w:rsidRPr="006545AD" w:rsidRDefault="00781C2A" w:rsidP="00781C2A">
      <w:pPr>
        <w:spacing w:before="6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0AAADFCB" w14:textId="77777777" w:rsidR="00781C2A" w:rsidRPr="006545AD" w:rsidRDefault="00781C2A" w:rsidP="00781C2A">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5858236B" w14:textId="77777777" w:rsidR="00781C2A" w:rsidRPr="006545AD" w:rsidRDefault="00781C2A" w:rsidP="00781C2A">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Dữ liệu hành chính.</w:t>
      </w:r>
    </w:p>
    <w:p w14:paraId="4853B44F" w14:textId="77777777" w:rsidR="00781C2A" w:rsidRPr="006545AD" w:rsidRDefault="00781C2A" w:rsidP="00781C2A">
      <w:pPr>
        <w:spacing w:before="6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4E391EE1" w14:textId="77777777" w:rsidR="00781C2A" w:rsidRPr="006545AD" w:rsidRDefault="00781C2A" w:rsidP="00781C2A">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Chủ trì: Bộ Kế hoạch và Đầu tư (Tổng cục Thống kê);</w:t>
      </w:r>
    </w:p>
    <w:p w14:paraId="6E36E08E" w14:textId="2B486298" w:rsidR="00E87F73" w:rsidRPr="009E1776" w:rsidRDefault="00781C2A" w:rsidP="009E1776">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Phối hợp: Bộ Công thương.</w:t>
      </w:r>
    </w:p>
    <w:p w14:paraId="4A51A6E4" w14:textId="12FB2242" w:rsidR="00E87F73" w:rsidRPr="006545AD" w:rsidRDefault="00E87F73" w:rsidP="00E87F73">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2.29. Tỷ trọng dư nợ tín dụng xanh trong tổng dư nợ tín dụng của các tổ chức tín dụng, chi nhánh ngân hàng nước ngoài</w:t>
      </w:r>
    </w:p>
    <w:p w14:paraId="397C43AF" w14:textId="77777777" w:rsidR="00E87F73" w:rsidRPr="006545AD" w:rsidRDefault="00E87F73" w:rsidP="00E87F73">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6F3D55A8" w14:textId="77777777" w:rsidR="00E87F73" w:rsidRPr="006545AD"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Tín dụng xanh là hoạt động tín dụng với các chính sách tín dụng hướng tới tăng trưởng xanh bao gồm tất cả các phương thức tài trợ vốn hoặc cho vay có tính đến tác động môi trường xã hội và tăng cường tính bền vững cho môi trường. Các chính sách tín dụng xanh là một giải pháp quan trọng để hướng nền kinh tế tới mục tiêu tăng trưởng xanh.</w:t>
      </w:r>
    </w:p>
    <w:p w14:paraId="1F0BFA01" w14:textId="77777777" w:rsidR="00E87F73" w:rsidRPr="006545AD"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Tín dụng xanh là tín dụng được cấp cho dự án đầu tư </w:t>
      </w:r>
      <w:r w:rsidRPr="006545AD">
        <w:rPr>
          <w:rFonts w:ascii="Times New Roman" w:eastAsia="Times New Roman" w:hAnsi="Times New Roman"/>
          <w:sz w:val="28"/>
          <w:szCs w:val="28"/>
        </w:rPr>
        <w:t>thuộc Danh mục phân loại xanh theo Quyết định của Thủ tướng Chính phủ quy định tiêu chí môi trường và việc xác nhận đối với dự án được cấp tín dụng xanh, phát hành trái phiếu xanh, mang lại các lợi ích về môi trường</w:t>
      </w:r>
      <w:r w:rsidRPr="006545AD">
        <w:rPr>
          <w:rFonts w:ascii="Times New Roman" w:eastAsia="Times New Roman" w:hAnsi="Times New Roman" w:cs="Times New Roman"/>
          <w:sz w:val="28"/>
          <w:szCs w:val="28"/>
        </w:rPr>
        <w:t xml:space="preserve"> sau đây:</w:t>
      </w:r>
    </w:p>
    <w:p w14:paraId="2982C877" w14:textId="77777777" w:rsidR="00E87F73" w:rsidRPr="006545AD"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Sử dụng hiệu quả tài nguyên thiên nhiên;</w:t>
      </w:r>
    </w:p>
    <w:p w14:paraId="19513761" w14:textId="77777777" w:rsidR="00E87F73" w:rsidRPr="006545AD"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Ứng phó với biến đổi khí hậu;</w:t>
      </w:r>
    </w:p>
    <w:p w14:paraId="5BC635EA" w14:textId="77777777" w:rsidR="00E87F73" w:rsidRPr="006545AD"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Quản lý chất thải;</w:t>
      </w:r>
    </w:p>
    <w:p w14:paraId="5E0F3C41" w14:textId="77777777" w:rsidR="00E87F73" w:rsidRPr="006545AD" w:rsidRDefault="00E87F73" w:rsidP="00E87F73">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Xử lý ô nhiễm, cải thiện chất lượng môi trường;</w:t>
      </w:r>
    </w:p>
    <w:p w14:paraId="0987792F" w14:textId="77777777" w:rsidR="00E87F73" w:rsidRPr="006545AD" w:rsidRDefault="00E87F73" w:rsidP="00E87F73">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Phục hồi hệ sinh thái tự nhiên;</w:t>
      </w:r>
    </w:p>
    <w:p w14:paraId="2D40C54F" w14:textId="77777777" w:rsidR="00E87F73" w:rsidRPr="006545AD" w:rsidRDefault="00E87F73" w:rsidP="00E87F73">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Bảo tồn thiên nhiên và đa dạng sinh học;</w:t>
      </w:r>
    </w:p>
    <w:p w14:paraId="28DE3B3F" w14:textId="77777777" w:rsidR="00E87F73" w:rsidRPr="006545AD" w:rsidRDefault="00E87F73" w:rsidP="00E87F73">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Tạo ra lợi ích khác về môi trường.</w:t>
      </w:r>
    </w:p>
    <w:p w14:paraId="7093A7AA" w14:textId="77777777" w:rsidR="00E87F73"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Tỷ trọng dư nợ tín dụng xanh trong tổng tín dụng của các tổ chức tín dụng, chi nhánh ngân hàng nước ngoài là chỉ tiêu phản ánh quan hệ so sánh giữa giá trị dư nợ tín dụng xanh và tổng giá trị dư nợ tín dụng của các tổ chức tín dụng, chi nhánh ngân hàng nước ngoài.</w:t>
      </w:r>
    </w:p>
    <w:p w14:paraId="3A4FFA1D" w14:textId="77777777" w:rsidR="009E1776" w:rsidRDefault="009E1776" w:rsidP="00E87F73">
      <w:pPr>
        <w:spacing w:before="60" w:after="60" w:line="360" w:lineRule="exact"/>
        <w:jc w:val="both"/>
        <w:rPr>
          <w:rFonts w:ascii="Times New Roman" w:eastAsia="Times New Roman" w:hAnsi="Times New Roman" w:cs="Times New Roman"/>
          <w:sz w:val="28"/>
          <w:szCs w:val="28"/>
        </w:rPr>
      </w:pPr>
    </w:p>
    <w:p w14:paraId="293B0114" w14:textId="77777777" w:rsidR="009E1776" w:rsidRDefault="009E1776" w:rsidP="00E87F73">
      <w:pPr>
        <w:spacing w:before="60" w:after="60" w:line="360" w:lineRule="exact"/>
        <w:jc w:val="both"/>
        <w:rPr>
          <w:rFonts w:ascii="Times New Roman" w:eastAsia="Times New Roman" w:hAnsi="Times New Roman" w:cs="Times New Roman"/>
          <w:sz w:val="28"/>
          <w:szCs w:val="28"/>
        </w:rPr>
      </w:pPr>
    </w:p>
    <w:p w14:paraId="57A52E3C" w14:textId="77777777" w:rsidR="009E1776" w:rsidRDefault="009E1776" w:rsidP="00E87F73">
      <w:pPr>
        <w:spacing w:before="60" w:after="60" w:line="360" w:lineRule="exact"/>
        <w:jc w:val="both"/>
        <w:rPr>
          <w:rFonts w:ascii="Times New Roman" w:eastAsia="Times New Roman" w:hAnsi="Times New Roman" w:cs="Times New Roman"/>
          <w:sz w:val="28"/>
          <w:szCs w:val="28"/>
        </w:rPr>
      </w:pPr>
    </w:p>
    <w:p w14:paraId="76EBA90E" w14:textId="77777777" w:rsidR="009E1776" w:rsidRDefault="009E1776" w:rsidP="00E87F73">
      <w:pPr>
        <w:spacing w:before="60" w:after="60" w:line="360" w:lineRule="exact"/>
        <w:jc w:val="both"/>
        <w:rPr>
          <w:rFonts w:ascii="Times New Roman" w:eastAsia="Times New Roman" w:hAnsi="Times New Roman" w:cs="Times New Roman"/>
          <w:sz w:val="28"/>
          <w:szCs w:val="28"/>
        </w:rPr>
      </w:pPr>
    </w:p>
    <w:p w14:paraId="49C1888E" w14:textId="77777777" w:rsidR="009E1776" w:rsidRDefault="009E1776" w:rsidP="00E87F73">
      <w:pPr>
        <w:spacing w:before="60" w:after="60" w:line="360" w:lineRule="exact"/>
        <w:jc w:val="both"/>
        <w:rPr>
          <w:rFonts w:ascii="Times New Roman" w:eastAsia="Times New Roman" w:hAnsi="Times New Roman" w:cs="Times New Roman"/>
          <w:sz w:val="28"/>
          <w:szCs w:val="28"/>
        </w:rPr>
      </w:pPr>
    </w:p>
    <w:p w14:paraId="20A07CD7" w14:textId="77777777" w:rsidR="009E1776" w:rsidRPr="006545AD" w:rsidRDefault="009E1776" w:rsidP="00E87F73">
      <w:pPr>
        <w:spacing w:before="60" w:after="60" w:line="360" w:lineRule="exact"/>
        <w:jc w:val="both"/>
        <w:rPr>
          <w:rFonts w:ascii="Times New Roman" w:eastAsia="Times New Roman" w:hAnsi="Times New Roman" w:cs="Times New Roman"/>
          <w:sz w:val="28"/>
          <w:szCs w:val="28"/>
        </w:rPr>
      </w:pPr>
    </w:p>
    <w:p w14:paraId="6B942568" w14:textId="77777777" w:rsidR="00E87F73" w:rsidRPr="006545AD"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Công thức tính:</w:t>
      </w:r>
    </w:p>
    <w:tbl>
      <w:tblPr>
        <w:tblStyle w:val="14"/>
        <w:tblW w:w="5000" w:type="pct"/>
        <w:tblBorders>
          <w:top w:val="nil"/>
          <w:left w:val="nil"/>
          <w:bottom w:val="nil"/>
          <w:right w:val="nil"/>
          <w:insideH w:val="nil"/>
          <w:insideV w:val="nil"/>
        </w:tblBorders>
        <w:tblLook w:val="0600" w:firstRow="0" w:lastRow="0" w:firstColumn="0" w:lastColumn="0" w:noHBand="1" w:noVBand="1"/>
      </w:tblPr>
      <w:tblGrid>
        <w:gridCol w:w="3828"/>
        <w:gridCol w:w="568"/>
        <w:gridCol w:w="3685"/>
        <w:gridCol w:w="991"/>
      </w:tblGrid>
      <w:tr w:rsidR="00E87F73" w:rsidRPr="006545AD" w14:paraId="78A41F78" w14:textId="77777777" w:rsidTr="00E87F73">
        <w:trPr>
          <w:trHeight w:val="1181"/>
        </w:trPr>
        <w:tc>
          <w:tcPr>
            <w:tcW w:w="2110" w:type="pct"/>
            <w:vMerge w:val="restart"/>
            <w:tcBorders>
              <w:top w:val="nil"/>
              <w:left w:val="nil"/>
              <w:bottom w:val="nil"/>
              <w:right w:val="nil"/>
            </w:tcBorders>
            <w:tcMar>
              <w:top w:w="100" w:type="dxa"/>
              <w:left w:w="100" w:type="dxa"/>
              <w:bottom w:w="100" w:type="dxa"/>
              <w:right w:w="100" w:type="dxa"/>
            </w:tcMar>
            <w:vAlign w:val="center"/>
          </w:tcPr>
          <w:p w14:paraId="2D6C0257"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trọng dư nợ tín dụng xanh trong tổng dư nợ tín dụng của các tổ chức tín dụng, chi nhánh ngân hàng nước ngoài (%)</w:t>
            </w:r>
          </w:p>
        </w:tc>
        <w:tc>
          <w:tcPr>
            <w:tcW w:w="313" w:type="pct"/>
            <w:vMerge w:val="restart"/>
            <w:tcBorders>
              <w:top w:val="nil"/>
              <w:left w:val="nil"/>
              <w:bottom w:val="nil"/>
              <w:right w:val="nil"/>
            </w:tcBorders>
            <w:tcMar>
              <w:top w:w="100" w:type="dxa"/>
              <w:left w:w="100" w:type="dxa"/>
              <w:bottom w:w="100" w:type="dxa"/>
              <w:right w:w="100" w:type="dxa"/>
            </w:tcMar>
            <w:vAlign w:val="center"/>
          </w:tcPr>
          <w:p w14:paraId="23A28B50"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031" w:type="pct"/>
            <w:tcBorders>
              <w:top w:val="nil"/>
              <w:left w:val="nil"/>
              <w:bottom w:val="single" w:sz="8" w:space="0" w:color="000000"/>
              <w:right w:val="nil"/>
            </w:tcBorders>
            <w:tcMar>
              <w:top w:w="100" w:type="dxa"/>
              <w:left w:w="100" w:type="dxa"/>
              <w:bottom w:w="100" w:type="dxa"/>
              <w:right w:w="100" w:type="dxa"/>
            </w:tcMar>
            <w:vAlign w:val="center"/>
          </w:tcPr>
          <w:p w14:paraId="2DC74F62"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Dư nợ tín dụng xanh</w:t>
            </w:r>
          </w:p>
        </w:tc>
        <w:tc>
          <w:tcPr>
            <w:tcW w:w="547" w:type="pct"/>
            <w:vMerge w:val="restart"/>
            <w:tcBorders>
              <w:top w:val="nil"/>
              <w:left w:val="nil"/>
              <w:bottom w:val="nil"/>
              <w:right w:val="nil"/>
            </w:tcBorders>
            <w:tcMar>
              <w:top w:w="100" w:type="dxa"/>
              <w:left w:w="100" w:type="dxa"/>
              <w:bottom w:w="100" w:type="dxa"/>
              <w:right w:w="100" w:type="dxa"/>
            </w:tcMar>
            <w:vAlign w:val="center"/>
          </w:tcPr>
          <w:p w14:paraId="523D3BD7"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p>
          <w:p w14:paraId="122D8DC3"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x  100</w:t>
            </w:r>
          </w:p>
        </w:tc>
      </w:tr>
      <w:tr w:rsidR="00E87F73" w:rsidRPr="006545AD" w14:paraId="779F9A5D" w14:textId="77777777" w:rsidTr="00E87F73">
        <w:trPr>
          <w:trHeight w:val="980"/>
        </w:trPr>
        <w:tc>
          <w:tcPr>
            <w:tcW w:w="2110" w:type="pct"/>
            <w:vMerge/>
            <w:tcBorders>
              <w:bottom w:val="nil"/>
              <w:right w:val="nil"/>
            </w:tcBorders>
            <w:shd w:val="clear" w:color="auto" w:fill="auto"/>
            <w:tcMar>
              <w:top w:w="100" w:type="dxa"/>
              <w:left w:w="100" w:type="dxa"/>
              <w:bottom w:w="100" w:type="dxa"/>
              <w:right w:w="100" w:type="dxa"/>
            </w:tcMar>
            <w:vAlign w:val="center"/>
          </w:tcPr>
          <w:p w14:paraId="4B58302F" w14:textId="77777777" w:rsidR="00E87F73" w:rsidRPr="006545AD" w:rsidRDefault="00E87F73" w:rsidP="00E87F73">
            <w:pPr>
              <w:spacing w:before="60" w:after="60" w:line="360" w:lineRule="exact"/>
              <w:jc w:val="both"/>
              <w:rPr>
                <w:rFonts w:ascii="Times New Roman" w:eastAsia="Times New Roman" w:hAnsi="Times New Roman" w:cs="Times New Roman"/>
                <w:b/>
                <w:sz w:val="28"/>
                <w:szCs w:val="28"/>
              </w:rPr>
            </w:pPr>
          </w:p>
        </w:tc>
        <w:tc>
          <w:tcPr>
            <w:tcW w:w="313" w:type="pct"/>
            <w:vMerge/>
            <w:tcBorders>
              <w:bottom w:val="nil"/>
              <w:right w:val="nil"/>
            </w:tcBorders>
            <w:shd w:val="clear" w:color="auto" w:fill="auto"/>
            <w:tcMar>
              <w:top w:w="100" w:type="dxa"/>
              <w:left w:w="100" w:type="dxa"/>
              <w:bottom w:w="100" w:type="dxa"/>
              <w:right w:w="100" w:type="dxa"/>
            </w:tcMar>
            <w:vAlign w:val="center"/>
          </w:tcPr>
          <w:p w14:paraId="113D6301" w14:textId="77777777" w:rsidR="00E87F73" w:rsidRPr="006545AD" w:rsidRDefault="00E87F73" w:rsidP="00E87F73">
            <w:pPr>
              <w:widowControl w:val="0"/>
              <w:pBdr>
                <w:top w:val="nil"/>
                <w:left w:val="nil"/>
                <w:bottom w:val="nil"/>
                <w:right w:val="nil"/>
                <w:between w:val="nil"/>
              </w:pBdr>
              <w:spacing w:before="60" w:after="60" w:line="360" w:lineRule="exact"/>
              <w:rPr>
                <w:rFonts w:ascii="Times New Roman" w:eastAsia="Times New Roman" w:hAnsi="Times New Roman" w:cs="Times New Roman"/>
                <w:b/>
                <w:sz w:val="28"/>
                <w:szCs w:val="28"/>
              </w:rPr>
            </w:pPr>
          </w:p>
        </w:tc>
        <w:tc>
          <w:tcPr>
            <w:tcW w:w="2031" w:type="pct"/>
            <w:tcBorders>
              <w:top w:val="nil"/>
              <w:left w:val="nil"/>
              <w:bottom w:val="nil"/>
              <w:right w:val="nil"/>
            </w:tcBorders>
            <w:shd w:val="clear" w:color="auto" w:fill="auto"/>
            <w:tcMar>
              <w:top w:w="100" w:type="dxa"/>
              <w:left w:w="100" w:type="dxa"/>
              <w:bottom w:w="100" w:type="dxa"/>
              <w:right w:w="100" w:type="dxa"/>
            </w:tcMar>
            <w:vAlign w:val="center"/>
          </w:tcPr>
          <w:p w14:paraId="7B0BCE5D"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dư nợ tín dụng của các tổ chức tín dụng, chi nhánh ngân hàng nước ngoài</w:t>
            </w:r>
          </w:p>
        </w:tc>
        <w:tc>
          <w:tcPr>
            <w:tcW w:w="547" w:type="pct"/>
            <w:vMerge/>
            <w:tcBorders>
              <w:bottom w:val="nil"/>
              <w:right w:val="nil"/>
            </w:tcBorders>
            <w:shd w:val="clear" w:color="auto" w:fill="auto"/>
            <w:tcMar>
              <w:top w:w="100" w:type="dxa"/>
              <w:left w:w="100" w:type="dxa"/>
              <w:bottom w:w="100" w:type="dxa"/>
              <w:right w:w="100" w:type="dxa"/>
            </w:tcMar>
            <w:vAlign w:val="center"/>
          </w:tcPr>
          <w:p w14:paraId="0EF8BE0C" w14:textId="77777777" w:rsidR="00E87F73" w:rsidRPr="006545AD" w:rsidRDefault="00E87F73" w:rsidP="00E87F73">
            <w:pPr>
              <w:spacing w:before="60" w:after="60" w:line="360" w:lineRule="exact"/>
              <w:jc w:val="both"/>
              <w:rPr>
                <w:rFonts w:ascii="Times New Roman" w:eastAsia="Times New Roman" w:hAnsi="Times New Roman" w:cs="Times New Roman"/>
                <w:b/>
                <w:sz w:val="28"/>
                <w:szCs w:val="28"/>
              </w:rPr>
            </w:pPr>
          </w:p>
        </w:tc>
      </w:tr>
    </w:tbl>
    <w:p w14:paraId="40F1D0FB" w14:textId="77777777" w:rsidR="00E87F73" w:rsidRPr="006545AD" w:rsidRDefault="00E87F73" w:rsidP="00E87F73">
      <w:pPr>
        <w:spacing w:before="80" w:after="60" w:line="37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7EAF5F1" w14:textId="77777777" w:rsidR="00E87F73" w:rsidRPr="006545AD" w:rsidRDefault="00E87F73" w:rsidP="00E87F73">
      <w:pPr>
        <w:spacing w:before="80" w:after="60" w:line="37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Kỳ hạn;</w:t>
      </w:r>
    </w:p>
    <w:p w14:paraId="2BE9E057" w14:textId="77777777" w:rsidR="00E87F73" w:rsidRPr="006545AD" w:rsidRDefault="00E87F73" w:rsidP="00E87F73">
      <w:pPr>
        <w:spacing w:before="80" w:after="60" w:line="37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Mục đích, ý nghĩa bảo vệ môi trường.</w:t>
      </w:r>
    </w:p>
    <w:p w14:paraId="46502F83" w14:textId="77777777" w:rsidR="00E87F73" w:rsidRPr="006545AD" w:rsidRDefault="00E87F73" w:rsidP="00E87F73">
      <w:pPr>
        <w:spacing w:before="80" w:after="60" w:line="37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0D3BA07D" w14:textId="77777777" w:rsidR="00E87F73" w:rsidRPr="006545AD" w:rsidRDefault="00E87F73" w:rsidP="00E87F73">
      <w:pPr>
        <w:spacing w:before="80" w:after="60" w:line="37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4388A477" w14:textId="77777777" w:rsidR="00E87F73" w:rsidRPr="006545AD" w:rsidRDefault="00E87F73" w:rsidP="00E87F73">
      <w:pPr>
        <w:spacing w:before="80" w:after="60" w:line="37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của Ngân hàng Nhà nước</w:t>
      </w:r>
      <w:r w:rsidRPr="006545AD">
        <w:rPr>
          <w:rFonts w:ascii="Times New Roman" w:eastAsia="Times New Roman" w:hAnsi="Times New Roman" w:cs="Times New Roman"/>
          <w:sz w:val="28"/>
          <w:szCs w:val="28"/>
          <w:lang w:val="vi-VN"/>
        </w:rPr>
        <w:t xml:space="preserve"> Việt Nam</w:t>
      </w:r>
      <w:r w:rsidRPr="006545AD">
        <w:rPr>
          <w:rFonts w:ascii="Times New Roman" w:eastAsia="Times New Roman" w:hAnsi="Times New Roman" w:cs="Times New Roman"/>
          <w:sz w:val="28"/>
          <w:szCs w:val="28"/>
        </w:rPr>
        <w:t>;</w:t>
      </w:r>
    </w:p>
    <w:p w14:paraId="6C1A46E3" w14:textId="77777777" w:rsidR="00E87F73" w:rsidRPr="006545AD" w:rsidRDefault="00E87F73" w:rsidP="00E87F73">
      <w:pPr>
        <w:spacing w:before="80" w:after="60" w:line="37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Dữ liệu hành chính.</w:t>
      </w:r>
    </w:p>
    <w:p w14:paraId="471E749D" w14:textId="77777777" w:rsidR="00E87F73" w:rsidRPr="006545AD" w:rsidRDefault="00E87F73" w:rsidP="00E87F73">
      <w:pPr>
        <w:spacing w:before="80" w:after="60" w:line="37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5. Cơ quan chịu trách nhiệm thu thập, tổng hợp: </w:t>
      </w:r>
      <w:r w:rsidRPr="006545AD">
        <w:rPr>
          <w:rFonts w:ascii="Times New Roman" w:eastAsia="Times New Roman" w:hAnsi="Times New Roman" w:cs="Times New Roman"/>
          <w:sz w:val="28"/>
          <w:szCs w:val="28"/>
        </w:rPr>
        <w:t>Ngân hàng Nhà nước Việt Nam</w:t>
      </w:r>
    </w:p>
    <w:p w14:paraId="766C9881" w14:textId="475E0AEE" w:rsidR="00E87F73" w:rsidRPr="006545AD" w:rsidRDefault="00E87F73" w:rsidP="00E87F73">
      <w:pPr>
        <w:spacing w:before="80" w:after="60" w:line="370" w:lineRule="exact"/>
        <w:jc w:val="both"/>
        <w:rPr>
          <w:rFonts w:ascii="Times New Roman Bold" w:eastAsia="Times New Roman" w:hAnsi="Times New Roman Bold" w:cs="Times New Roman"/>
          <w:b/>
          <w:spacing w:val="4"/>
          <w:sz w:val="28"/>
          <w:szCs w:val="28"/>
        </w:rPr>
      </w:pPr>
      <w:r w:rsidRPr="006545AD">
        <w:rPr>
          <w:rFonts w:ascii="Times New Roman" w:eastAsia="Times New Roman" w:hAnsi="Times New Roman" w:cs="Times New Roman"/>
          <w:sz w:val="28"/>
          <w:szCs w:val="28"/>
        </w:rPr>
        <w:tab/>
      </w:r>
      <w:r w:rsidRPr="006545AD">
        <w:rPr>
          <w:rFonts w:ascii="Times New Roman Bold" w:eastAsia="Times New Roman" w:hAnsi="Times New Roman Bold" w:cs="Times New Roman"/>
          <w:b/>
          <w:spacing w:val="4"/>
          <w:sz w:val="28"/>
          <w:szCs w:val="28"/>
        </w:rPr>
        <w:t>2.30. Tỷ trọng ph</w:t>
      </w:r>
      <w:r w:rsidRPr="006545AD">
        <w:rPr>
          <w:rFonts w:ascii="Times New Roman Bold" w:eastAsia="Times New Roman" w:hAnsi="Times New Roman Bold" w:cs="Times New Roman" w:hint="eastAsia"/>
          <w:b/>
          <w:spacing w:val="4"/>
          <w:sz w:val="28"/>
          <w:szCs w:val="28"/>
        </w:rPr>
        <w:t>á</w:t>
      </w:r>
      <w:r w:rsidRPr="006545AD">
        <w:rPr>
          <w:rFonts w:ascii="Times New Roman Bold" w:eastAsia="Times New Roman" w:hAnsi="Times New Roman Bold" w:cs="Times New Roman"/>
          <w:b/>
          <w:spacing w:val="4"/>
          <w:sz w:val="28"/>
          <w:szCs w:val="28"/>
        </w:rPr>
        <w:t>t h</w:t>
      </w:r>
      <w:r w:rsidRPr="006545AD">
        <w:rPr>
          <w:rFonts w:ascii="Times New Roman Bold" w:eastAsia="Times New Roman" w:hAnsi="Times New Roman Bold" w:cs="Times New Roman" w:hint="eastAsia"/>
          <w:b/>
          <w:spacing w:val="4"/>
          <w:sz w:val="28"/>
          <w:szCs w:val="28"/>
        </w:rPr>
        <w:t>à</w:t>
      </w:r>
      <w:r w:rsidRPr="006545AD">
        <w:rPr>
          <w:rFonts w:ascii="Times New Roman Bold" w:eastAsia="Times New Roman" w:hAnsi="Times New Roman Bold" w:cs="Times New Roman"/>
          <w:b/>
          <w:spacing w:val="4"/>
          <w:sz w:val="28"/>
          <w:szCs w:val="28"/>
        </w:rPr>
        <w:t>nh tr</w:t>
      </w:r>
      <w:r w:rsidRPr="006545AD">
        <w:rPr>
          <w:rFonts w:ascii="Times New Roman Bold" w:eastAsia="Times New Roman" w:hAnsi="Times New Roman Bold" w:cs="Times New Roman" w:hint="eastAsia"/>
          <w:b/>
          <w:spacing w:val="4"/>
          <w:sz w:val="28"/>
          <w:szCs w:val="28"/>
        </w:rPr>
        <w:t>á</w:t>
      </w:r>
      <w:r w:rsidRPr="006545AD">
        <w:rPr>
          <w:rFonts w:ascii="Times New Roman Bold" w:eastAsia="Times New Roman" w:hAnsi="Times New Roman Bold" w:cs="Times New Roman"/>
          <w:b/>
          <w:spacing w:val="4"/>
          <w:sz w:val="28"/>
          <w:szCs w:val="28"/>
        </w:rPr>
        <w:t>i phiếu xanh trong tổng tr</w:t>
      </w:r>
      <w:r w:rsidRPr="006545AD">
        <w:rPr>
          <w:rFonts w:ascii="Times New Roman Bold" w:eastAsia="Times New Roman" w:hAnsi="Times New Roman Bold" w:cs="Times New Roman" w:hint="eastAsia"/>
          <w:b/>
          <w:spacing w:val="4"/>
          <w:sz w:val="28"/>
          <w:szCs w:val="28"/>
        </w:rPr>
        <w:t>á</w:t>
      </w:r>
      <w:r w:rsidRPr="006545AD">
        <w:rPr>
          <w:rFonts w:ascii="Times New Roman Bold" w:eastAsia="Times New Roman" w:hAnsi="Times New Roman Bold" w:cs="Times New Roman"/>
          <w:b/>
          <w:spacing w:val="4"/>
          <w:sz w:val="28"/>
          <w:szCs w:val="28"/>
        </w:rPr>
        <w:t xml:space="preserve">i phiếu </w:t>
      </w:r>
      <w:r w:rsidRPr="006545AD">
        <w:rPr>
          <w:rFonts w:ascii="Times New Roman Bold" w:eastAsia="Times New Roman" w:hAnsi="Times New Roman Bold" w:cs="Times New Roman" w:hint="eastAsia"/>
          <w:b/>
          <w:spacing w:val="4"/>
          <w:sz w:val="28"/>
          <w:szCs w:val="28"/>
        </w:rPr>
        <w:t>đã</w:t>
      </w:r>
      <w:r w:rsidRPr="006545AD">
        <w:rPr>
          <w:rFonts w:ascii="Times New Roman Bold" w:eastAsia="Times New Roman" w:hAnsi="Times New Roman Bold" w:cs="Times New Roman"/>
          <w:b/>
          <w:spacing w:val="4"/>
          <w:sz w:val="28"/>
          <w:szCs w:val="28"/>
        </w:rPr>
        <w:t xml:space="preserve"> ph</w:t>
      </w:r>
      <w:r w:rsidRPr="006545AD">
        <w:rPr>
          <w:rFonts w:ascii="Times New Roman Bold" w:eastAsia="Times New Roman" w:hAnsi="Times New Roman Bold" w:cs="Times New Roman" w:hint="eastAsia"/>
          <w:b/>
          <w:spacing w:val="4"/>
          <w:sz w:val="28"/>
          <w:szCs w:val="28"/>
        </w:rPr>
        <w:t>á</w:t>
      </w:r>
      <w:r w:rsidRPr="006545AD">
        <w:rPr>
          <w:rFonts w:ascii="Times New Roman Bold" w:eastAsia="Times New Roman" w:hAnsi="Times New Roman Bold" w:cs="Times New Roman"/>
          <w:b/>
          <w:spacing w:val="4"/>
          <w:sz w:val="28"/>
          <w:szCs w:val="28"/>
        </w:rPr>
        <w:t>t h</w:t>
      </w:r>
      <w:r w:rsidRPr="006545AD">
        <w:rPr>
          <w:rFonts w:ascii="Times New Roman Bold" w:eastAsia="Times New Roman" w:hAnsi="Times New Roman Bold" w:cs="Times New Roman" w:hint="eastAsia"/>
          <w:b/>
          <w:spacing w:val="4"/>
          <w:sz w:val="28"/>
          <w:szCs w:val="28"/>
        </w:rPr>
        <w:t>à</w:t>
      </w:r>
      <w:r w:rsidRPr="006545AD">
        <w:rPr>
          <w:rFonts w:ascii="Times New Roman Bold" w:eastAsia="Times New Roman" w:hAnsi="Times New Roman Bold" w:cs="Times New Roman"/>
          <w:b/>
          <w:spacing w:val="4"/>
          <w:sz w:val="28"/>
          <w:szCs w:val="28"/>
        </w:rPr>
        <w:t>nh</w:t>
      </w:r>
    </w:p>
    <w:p w14:paraId="3F23752A" w14:textId="77777777" w:rsidR="00E87F73" w:rsidRPr="006545AD" w:rsidRDefault="00E87F73" w:rsidP="00E87F73">
      <w:pPr>
        <w:spacing w:before="80" w:after="60" w:line="37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4E52A01A" w14:textId="77777777" w:rsidR="00E87F73" w:rsidRPr="006545AD" w:rsidRDefault="00E87F73" w:rsidP="00E87F73">
      <w:pPr>
        <w:spacing w:before="80" w:after="60" w:line="37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Trái phiếu xanh là trái phiếu do Chính phủ, chính quyền địa phương, doanh nghiệp phát hành theo quy định của pháp luật về trái phiếu để huy động vốn cho hoạt động bảo vệ môi trường, dự án đầu tư mang lại lợi ích về môi trường.</w:t>
      </w:r>
    </w:p>
    <w:p w14:paraId="52D4E919" w14:textId="77777777" w:rsidR="00E87F73" w:rsidRPr="006545AD" w:rsidRDefault="00E87F73" w:rsidP="00E87F73">
      <w:pPr>
        <w:spacing w:before="80" w:after="60" w:line="37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Tỷ trọng phát hành trái phiếu xanh trong tổng trái phiếu đã phát hành là chỉ tiêu phản ánh quan hệ so sánh giữa giá trị trái phiếu xanh đã phát hành đang còn lưu hành tính đến thời điểm thống kê và tổng giá trị trái phiếu đã phát hành còn lưu hành tính đến thời điểm thống kê tương ứng.</w:t>
      </w:r>
    </w:p>
    <w:p w14:paraId="4CFF5440" w14:textId="77777777" w:rsidR="00E87F73" w:rsidRPr="006545AD" w:rsidRDefault="00E87F73" w:rsidP="00E87F73">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Công thức tính:</w:t>
      </w:r>
    </w:p>
    <w:tbl>
      <w:tblPr>
        <w:tblStyle w:val="13"/>
        <w:tblW w:w="5000" w:type="pct"/>
        <w:jc w:val="center"/>
        <w:tblBorders>
          <w:top w:val="nil"/>
          <w:left w:val="nil"/>
          <w:bottom w:val="nil"/>
          <w:right w:val="nil"/>
          <w:insideH w:val="nil"/>
          <w:insideV w:val="nil"/>
        </w:tblBorders>
        <w:tblLook w:val="0600" w:firstRow="0" w:lastRow="0" w:firstColumn="0" w:lastColumn="0" w:noHBand="1" w:noVBand="1"/>
      </w:tblPr>
      <w:tblGrid>
        <w:gridCol w:w="3260"/>
        <w:gridCol w:w="726"/>
        <w:gridCol w:w="3527"/>
        <w:gridCol w:w="1559"/>
      </w:tblGrid>
      <w:tr w:rsidR="00E87F73" w:rsidRPr="006545AD" w14:paraId="4ED9E480" w14:textId="77777777" w:rsidTr="00E87F73">
        <w:trPr>
          <w:trHeight w:val="954"/>
          <w:jc w:val="center"/>
        </w:trPr>
        <w:tc>
          <w:tcPr>
            <w:tcW w:w="1797" w:type="pct"/>
            <w:vMerge w:val="restart"/>
            <w:tcBorders>
              <w:top w:val="nil"/>
              <w:left w:val="nil"/>
              <w:bottom w:val="nil"/>
              <w:right w:val="nil"/>
            </w:tcBorders>
            <w:tcMar>
              <w:top w:w="100" w:type="dxa"/>
              <w:left w:w="100" w:type="dxa"/>
              <w:bottom w:w="100" w:type="dxa"/>
              <w:right w:w="100" w:type="dxa"/>
            </w:tcMar>
            <w:vAlign w:val="center"/>
          </w:tcPr>
          <w:p w14:paraId="7A4FF1DD"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trọng phát hành trái phiếu xanh trong tổng trái phiếu đã phát hành (%)</w:t>
            </w:r>
          </w:p>
        </w:tc>
        <w:tc>
          <w:tcPr>
            <w:tcW w:w="400" w:type="pct"/>
            <w:vMerge w:val="restart"/>
            <w:tcBorders>
              <w:top w:val="nil"/>
              <w:left w:val="nil"/>
              <w:bottom w:val="nil"/>
              <w:right w:val="nil"/>
            </w:tcBorders>
            <w:tcMar>
              <w:top w:w="100" w:type="dxa"/>
              <w:left w:w="100" w:type="dxa"/>
              <w:bottom w:w="100" w:type="dxa"/>
              <w:right w:w="100" w:type="dxa"/>
            </w:tcMar>
            <w:vAlign w:val="center"/>
          </w:tcPr>
          <w:p w14:paraId="67FEAA96"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944" w:type="pct"/>
            <w:tcBorders>
              <w:top w:val="nil"/>
              <w:left w:val="nil"/>
              <w:bottom w:val="single" w:sz="8" w:space="0" w:color="000000"/>
              <w:right w:val="nil"/>
            </w:tcBorders>
            <w:tcMar>
              <w:top w:w="100" w:type="dxa"/>
              <w:left w:w="100" w:type="dxa"/>
              <w:bottom w:w="100" w:type="dxa"/>
              <w:right w:w="100" w:type="dxa"/>
            </w:tcMar>
            <w:vAlign w:val="center"/>
          </w:tcPr>
          <w:p w14:paraId="2FE32DB6"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trái phiếu xanh đã phát hành</w:t>
            </w:r>
          </w:p>
        </w:tc>
        <w:tc>
          <w:tcPr>
            <w:tcW w:w="859" w:type="pct"/>
            <w:vMerge w:val="restart"/>
            <w:tcBorders>
              <w:top w:val="nil"/>
              <w:left w:val="nil"/>
              <w:bottom w:val="nil"/>
              <w:right w:val="nil"/>
            </w:tcBorders>
            <w:tcMar>
              <w:top w:w="100" w:type="dxa"/>
              <w:left w:w="100" w:type="dxa"/>
              <w:bottom w:w="100" w:type="dxa"/>
              <w:right w:w="100" w:type="dxa"/>
            </w:tcMar>
            <w:vAlign w:val="center"/>
          </w:tcPr>
          <w:p w14:paraId="395D6434"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x  100</w:t>
            </w:r>
          </w:p>
        </w:tc>
      </w:tr>
      <w:tr w:rsidR="00E87F73" w:rsidRPr="006545AD" w14:paraId="1E0FFD77" w14:textId="77777777" w:rsidTr="00E87F73">
        <w:trPr>
          <w:trHeight w:val="628"/>
          <w:jc w:val="center"/>
        </w:trPr>
        <w:tc>
          <w:tcPr>
            <w:tcW w:w="1797" w:type="pct"/>
            <w:vMerge/>
            <w:tcBorders>
              <w:bottom w:val="nil"/>
              <w:right w:val="nil"/>
            </w:tcBorders>
            <w:shd w:val="clear" w:color="auto" w:fill="auto"/>
            <w:tcMar>
              <w:top w:w="100" w:type="dxa"/>
              <w:left w:w="100" w:type="dxa"/>
              <w:bottom w:w="100" w:type="dxa"/>
              <w:right w:w="100" w:type="dxa"/>
            </w:tcMar>
            <w:vAlign w:val="center"/>
          </w:tcPr>
          <w:p w14:paraId="181FD287" w14:textId="77777777" w:rsidR="00E87F73" w:rsidRPr="006545AD" w:rsidRDefault="00E87F73" w:rsidP="00E87F73">
            <w:pPr>
              <w:spacing w:before="60" w:after="60" w:line="360" w:lineRule="exact"/>
              <w:jc w:val="both"/>
              <w:rPr>
                <w:rFonts w:ascii="Times New Roman" w:eastAsia="Times New Roman" w:hAnsi="Times New Roman" w:cs="Times New Roman"/>
                <w:b/>
                <w:sz w:val="28"/>
                <w:szCs w:val="28"/>
              </w:rPr>
            </w:pPr>
          </w:p>
        </w:tc>
        <w:tc>
          <w:tcPr>
            <w:tcW w:w="400" w:type="pct"/>
            <w:vMerge/>
            <w:tcBorders>
              <w:bottom w:val="nil"/>
              <w:right w:val="nil"/>
            </w:tcBorders>
            <w:shd w:val="clear" w:color="auto" w:fill="auto"/>
            <w:tcMar>
              <w:top w:w="100" w:type="dxa"/>
              <w:left w:w="100" w:type="dxa"/>
              <w:bottom w:w="100" w:type="dxa"/>
              <w:right w:w="100" w:type="dxa"/>
            </w:tcMar>
            <w:vAlign w:val="center"/>
          </w:tcPr>
          <w:p w14:paraId="17DC3839" w14:textId="77777777" w:rsidR="00E87F73" w:rsidRPr="006545AD" w:rsidRDefault="00E87F73" w:rsidP="00E87F73">
            <w:pPr>
              <w:widowControl w:val="0"/>
              <w:pBdr>
                <w:top w:val="nil"/>
                <w:left w:val="nil"/>
                <w:bottom w:val="nil"/>
                <w:right w:val="nil"/>
                <w:between w:val="nil"/>
              </w:pBdr>
              <w:spacing w:before="60" w:after="60" w:line="360" w:lineRule="exact"/>
              <w:rPr>
                <w:rFonts w:ascii="Times New Roman" w:eastAsia="Times New Roman" w:hAnsi="Times New Roman" w:cs="Times New Roman"/>
                <w:b/>
                <w:sz w:val="28"/>
                <w:szCs w:val="28"/>
              </w:rPr>
            </w:pPr>
          </w:p>
        </w:tc>
        <w:tc>
          <w:tcPr>
            <w:tcW w:w="1944" w:type="pct"/>
            <w:tcBorders>
              <w:top w:val="nil"/>
              <w:left w:val="nil"/>
              <w:bottom w:val="nil"/>
              <w:right w:val="nil"/>
            </w:tcBorders>
            <w:shd w:val="clear" w:color="auto" w:fill="auto"/>
            <w:tcMar>
              <w:top w:w="100" w:type="dxa"/>
              <w:left w:w="100" w:type="dxa"/>
              <w:bottom w:w="100" w:type="dxa"/>
              <w:right w:w="100" w:type="dxa"/>
            </w:tcMar>
            <w:vAlign w:val="center"/>
          </w:tcPr>
          <w:p w14:paraId="76659881" w14:textId="77777777" w:rsidR="00E87F73" w:rsidRPr="006545AD" w:rsidRDefault="00E87F73" w:rsidP="00E87F7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giá trị trái phiếu đã phát hành đang còn lưu hành</w:t>
            </w:r>
          </w:p>
        </w:tc>
        <w:tc>
          <w:tcPr>
            <w:tcW w:w="859" w:type="pct"/>
            <w:vMerge/>
            <w:tcBorders>
              <w:bottom w:val="nil"/>
              <w:right w:val="nil"/>
            </w:tcBorders>
            <w:shd w:val="clear" w:color="auto" w:fill="auto"/>
            <w:tcMar>
              <w:top w:w="100" w:type="dxa"/>
              <w:left w:w="100" w:type="dxa"/>
              <w:bottom w:w="100" w:type="dxa"/>
              <w:right w:w="100" w:type="dxa"/>
            </w:tcMar>
          </w:tcPr>
          <w:p w14:paraId="329876BD" w14:textId="77777777" w:rsidR="00E87F73" w:rsidRPr="006545AD" w:rsidRDefault="00E87F73" w:rsidP="00E87F73">
            <w:pPr>
              <w:spacing w:before="60" w:after="60" w:line="360" w:lineRule="exact"/>
              <w:jc w:val="both"/>
              <w:rPr>
                <w:rFonts w:ascii="Times New Roman" w:eastAsia="Times New Roman" w:hAnsi="Times New Roman" w:cs="Times New Roman"/>
                <w:b/>
                <w:sz w:val="28"/>
                <w:szCs w:val="28"/>
              </w:rPr>
            </w:pPr>
          </w:p>
        </w:tc>
      </w:tr>
    </w:tbl>
    <w:p w14:paraId="667B78AC" w14:textId="77777777" w:rsidR="00E87F73" w:rsidRPr="006545AD" w:rsidRDefault="00E87F73" w:rsidP="00E87F73">
      <w:pPr>
        <w:spacing w:before="12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i/>
          <w:sz w:val="28"/>
          <w:szCs w:val="28"/>
        </w:rPr>
        <w:t>Lưu ý</w:t>
      </w:r>
      <w:r w:rsidRPr="006545AD">
        <w:rPr>
          <w:rFonts w:ascii="Times New Roman" w:eastAsia="Times New Roman" w:hAnsi="Times New Roman" w:cs="Times New Roman"/>
          <w:sz w:val="28"/>
          <w:szCs w:val="28"/>
        </w:rPr>
        <w:t>: Giá trị trái phiếu được tính đến 31/12 hàng năm</w:t>
      </w:r>
    </w:p>
    <w:p w14:paraId="29D15266" w14:textId="77777777" w:rsidR="00E87F73" w:rsidRPr="006545AD" w:rsidRDefault="00E87F73" w:rsidP="00E87F73">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2. Phân tổ chủ yếu</w:t>
      </w:r>
    </w:p>
    <w:p w14:paraId="5E52ECD1" w14:textId="77777777" w:rsidR="00E87F73" w:rsidRPr="006545AD" w:rsidRDefault="00E87F73" w:rsidP="00E87F73">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Kỳ hạn;</w:t>
      </w:r>
    </w:p>
    <w:p w14:paraId="2E53FEFE" w14:textId="77777777" w:rsidR="00E87F73" w:rsidRPr="006545AD" w:rsidRDefault="00E87F73" w:rsidP="00E87F73">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trái phiếu.</w:t>
      </w:r>
    </w:p>
    <w:p w14:paraId="676A33C8" w14:textId="77777777" w:rsidR="00E87F73" w:rsidRPr="006545AD" w:rsidRDefault="00E87F73" w:rsidP="00E87F73">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705173DE" w14:textId="77777777" w:rsidR="00E87F73" w:rsidRPr="006545AD" w:rsidRDefault="00E87F73" w:rsidP="00E87F73">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4. Nguồn số liệu: </w:t>
      </w:r>
      <w:r w:rsidRPr="006545AD">
        <w:rPr>
          <w:rFonts w:ascii="Times New Roman" w:eastAsia="Times New Roman" w:hAnsi="Times New Roman" w:cs="Times New Roman"/>
          <w:sz w:val="28"/>
          <w:szCs w:val="28"/>
        </w:rPr>
        <w:t>Dữ liệu hành chính</w:t>
      </w:r>
    </w:p>
    <w:p w14:paraId="7B4DAEC6" w14:textId="7DD614D7" w:rsidR="00E87F73" w:rsidRPr="006545AD" w:rsidRDefault="00E87F73" w:rsidP="009E1776">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5. Cơ quan chịu trách nhiệm thu thập, tổng hợp:</w:t>
      </w:r>
      <w:r w:rsidRPr="006545AD">
        <w:rPr>
          <w:rFonts w:ascii="Times New Roman" w:eastAsia="Times New Roman" w:hAnsi="Times New Roman" w:cs="Times New Roman"/>
          <w:sz w:val="28"/>
          <w:szCs w:val="28"/>
        </w:rPr>
        <w:t xml:space="preserve"> Bộ Tài chính</w:t>
      </w:r>
    </w:p>
    <w:p w14:paraId="07E2980F" w14:textId="6B15708D" w:rsidR="00781C2A" w:rsidRPr="006545AD" w:rsidRDefault="00781C2A" w:rsidP="005725BC">
      <w:pPr>
        <w:spacing w:before="240" w:after="60" w:line="360" w:lineRule="exact"/>
        <w:ind w:firstLine="709"/>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VII. Lĩnh vực tài nguyên rừng</w:t>
      </w:r>
    </w:p>
    <w:p w14:paraId="61930C63" w14:textId="18EA67C8" w:rsidR="00F408D5" w:rsidRPr="006545AD" w:rsidRDefault="00781C2A"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2.</w:t>
      </w:r>
      <w:r w:rsidR="00E87F73" w:rsidRPr="006545AD">
        <w:rPr>
          <w:rFonts w:ascii="Times New Roman" w:eastAsia="Times New Roman" w:hAnsi="Times New Roman" w:cs="Times New Roman"/>
          <w:b/>
          <w:sz w:val="28"/>
          <w:szCs w:val="28"/>
        </w:rPr>
        <w:t>31</w:t>
      </w:r>
      <w:r w:rsidR="00224DB4"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b/>
          <w:sz w:val="28"/>
          <w:szCs w:val="28"/>
        </w:rPr>
        <w:t>Tỷ lệ che phủ rừng</w:t>
      </w:r>
    </w:p>
    <w:p w14:paraId="614F1B50" w14:textId="77777777" w:rsidR="00F408D5" w:rsidRPr="006545AD" w:rsidRDefault="00224DB4"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2D7B4BD" w14:textId="77777777" w:rsidR="00F408D5" w:rsidRPr="006545AD" w:rsidRDefault="00224DB4"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Tỷ lệ che phủ rừng là tỷ lệ phần trăm diện tích rừng hiện có so với diện tích đất tự nhiên của cả nước, một vùng lãnh thổ hay một địa phương tại một thời điểm nhất định.</w:t>
      </w:r>
    </w:p>
    <w:p w14:paraId="183D86FC" w14:textId="665FE97A" w:rsidR="00F408D5" w:rsidRPr="006545AD" w:rsidRDefault="006E7C70" w:rsidP="00984868">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Rừng là hệ sinh thái bao gồm các loài thực vật rừng, </w:t>
      </w:r>
      <w:r w:rsidR="003C717E" w:rsidRPr="006545AD">
        <w:rPr>
          <w:rFonts w:ascii="Times New Roman" w:eastAsia="Times New Roman" w:hAnsi="Times New Roman" w:cs="Times New Roman"/>
          <w:sz w:val="28"/>
          <w:szCs w:val="28"/>
        </w:rPr>
        <w:t>động vật</w:t>
      </w:r>
      <w:r w:rsidRPr="006545AD">
        <w:rPr>
          <w:rFonts w:ascii="Times New Roman" w:eastAsia="Times New Roman" w:hAnsi="Times New Roman" w:cs="Times New Roman"/>
          <w:sz w:val="28"/>
          <w:szCs w:val="28"/>
        </w:rPr>
        <w:t xml:space="preserve"> rừng, nấm, vi sinh vật, đất rừng và các yếu tố môi trường khác, trong đó thành phần chính là một hoặc một số loài cây thân gỗ, tre, nứa, cây họ cau có chiều cao được xác định theo hệ thực vật đặc trưng khác; diện tích liền vùng từ 0,3</w:t>
      </w:r>
      <w:r w:rsidR="00D770DF" w:rsidRPr="006545AD">
        <w:rPr>
          <w:rFonts w:ascii="Times New Roman" w:eastAsia="Times New Roman" w:hAnsi="Times New Roman" w:cs="Times New Roman"/>
          <w:sz w:val="28"/>
          <w:szCs w:val="28"/>
          <w:lang w:val="vi-VN"/>
        </w:rPr>
        <w:t xml:space="preserve"> </w:t>
      </w:r>
      <w:r w:rsidRPr="006545AD">
        <w:rPr>
          <w:rFonts w:ascii="Times New Roman" w:eastAsia="Times New Roman" w:hAnsi="Times New Roman" w:cs="Times New Roman"/>
          <w:sz w:val="28"/>
          <w:szCs w:val="28"/>
        </w:rPr>
        <w:t>ha trở lên; độ tàn che từ 0,1 trở lên.</w:t>
      </w:r>
    </w:p>
    <w:p w14:paraId="0B70409A" w14:textId="77777777" w:rsidR="00F408D5" w:rsidRPr="006545AD" w:rsidRDefault="00224DB4" w:rsidP="00923EF8">
      <w:pPr>
        <w:spacing w:before="60" w:after="60" w:line="360" w:lineRule="exact"/>
        <w:jc w:val="both"/>
        <w:rPr>
          <w:rFonts w:ascii="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Rừng tự nhiên </w:t>
      </w:r>
      <w:r w:rsidR="006E7C70" w:rsidRPr="006545AD">
        <w:rPr>
          <w:rFonts w:ascii="Times New Roman" w:hAnsi="Times New Roman" w:cs="Times New Roman"/>
          <w:sz w:val="28"/>
          <w:szCs w:val="28"/>
        </w:rPr>
        <w:t>là rừng có sẵn trong tự nhiên hoặc phục hồi bằng tái sinh tự nhiên hoặc tái sinh có trồng bổ sung.</w:t>
      </w:r>
    </w:p>
    <w:p w14:paraId="6C6AF942" w14:textId="77777777" w:rsidR="00F408D5" w:rsidRPr="006545AD" w:rsidRDefault="00224DB4" w:rsidP="00923EF8">
      <w:pPr>
        <w:spacing w:before="60" w:after="6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r>
      <w:r w:rsidR="006E7C70" w:rsidRPr="006545AD">
        <w:rPr>
          <w:rFonts w:ascii="Times New Roman" w:hAnsi="Times New Roman" w:cs="Times New Roman"/>
          <w:sz w:val="28"/>
          <w:szCs w:val="28"/>
        </w:rPr>
        <w:t>Rừng trồng là rừng được hình thành do con người trồng mới trên đất chưa có rừng; cải tạo rừng tự nhiên; trồng lại hoặc tái sinh sau khai thác rừng trồng.</w:t>
      </w:r>
    </w:p>
    <w:p w14:paraId="5EE94459" w14:textId="77777777" w:rsidR="00F408D5" w:rsidRPr="006545AD" w:rsidRDefault="00224DB4"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Công thức tính</w:t>
      </w:r>
    </w:p>
    <w:tbl>
      <w:tblPr>
        <w:tblStyle w:val="TableGrid"/>
        <w:tblW w:w="8789" w:type="dxa"/>
        <w:jc w:val="center"/>
        <w:tblLook w:val="04A0" w:firstRow="1" w:lastRow="0" w:firstColumn="1" w:lastColumn="0" w:noHBand="0" w:noVBand="1"/>
      </w:tblPr>
      <w:tblGrid>
        <w:gridCol w:w="3494"/>
        <w:gridCol w:w="374"/>
        <w:gridCol w:w="4070"/>
        <w:gridCol w:w="851"/>
      </w:tblGrid>
      <w:tr w:rsidR="00D473D2" w:rsidRPr="006545AD" w14:paraId="4BB97BF8" w14:textId="77777777" w:rsidTr="005725BC">
        <w:trPr>
          <w:trHeight w:val="407"/>
          <w:jc w:val="center"/>
        </w:trPr>
        <w:tc>
          <w:tcPr>
            <w:tcW w:w="3494" w:type="dxa"/>
            <w:vMerge w:val="restart"/>
            <w:tcBorders>
              <w:top w:val="nil"/>
              <w:left w:val="nil"/>
              <w:bottom w:val="nil"/>
              <w:right w:val="nil"/>
            </w:tcBorders>
            <w:vAlign w:val="center"/>
          </w:tcPr>
          <w:p w14:paraId="35EFEF69" w14:textId="77777777" w:rsidR="00D473D2" w:rsidRPr="006545AD" w:rsidRDefault="00D473D2"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che phủ rừng (%)</w:t>
            </w:r>
          </w:p>
        </w:tc>
        <w:tc>
          <w:tcPr>
            <w:tcW w:w="374" w:type="dxa"/>
            <w:vMerge w:val="restart"/>
            <w:tcBorders>
              <w:top w:val="nil"/>
              <w:left w:val="nil"/>
              <w:bottom w:val="nil"/>
              <w:right w:val="nil"/>
            </w:tcBorders>
            <w:vAlign w:val="center"/>
          </w:tcPr>
          <w:p w14:paraId="50C06A42" w14:textId="77777777" w:rsidR="00D473D2" w:rsidRPr="006545AD" w:rsidRDefault="00D473D2" w:rsidP="005B04E9">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070" w:type="dxa"/>
            <w:tcBorders>
              <w:top w:val="nil"/>
              <w:left w:val="nil"/>
              <w:bottom w:val="single" w:sz="4" w:space="0" w:color="auto"/>
              <w:right w:val="nil"/>
            </w:tcBorders>
            <w:vAlign w:val="center"/>
          </w:tcPr>
          <w:p w14:paraId="00B93B06" w14:textId="77777777" w:rsidR="00D473D2" w:rsidRPr="006545AD" w:rsidRDefault="00D473D2"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rừng hiện có</w:t>
            </w:r>
          </w:p>
        </w:tc>
        <w:tc>
          <w:tcPr>
            <w:tcW w:w="851" w:type="dxa"/>
            <w:vMerge w:val="restart"/>
            <w:tcBorders>
              <w:top w:val="nil"/>
              <w:left w:val="nil"/>
              <w:bottom w:val="nil"/>
              <w:right w:val="nil"/>
            </w:tcBorders>
            <w:vAlign w:val="center"/>
          </w:tcPr>
          <w:p w14:paraId="5D1A0EDF" w14:textId="114FFD92" w:rsidR="00D473D2" w:rsidRPr="006545AD" w:rsidRDefault="00A339A7" w:rsidP="005B04E9">
            <w:pPr>
              <w:spacing w:before="60" w:after="60" w:line="360" w:lineRule="exact"/>
              <w:jc w:val="both"/>
              <w:rPr>
                <w:rFonts w:ascii="Times New Roman" w:eastAsia="Times New Roman" w:hAnsi="Times New Roman" w:cs="Times New Roman"/>
                <w:sz w:val="28"/>
                <w:szCs w:val="28"/>
              </w:rPr>
            </w:pPr>
            <w:r w:rsidRPr="006545AD">
              <w:rPr>
                <w:sz w:val="26"/>
                <w:szCs w:val="26"/>
              </w:rPr>
              <w:t>×</w:t>
            </w:r>
            <w:r w:rsidR="00D473D2" w:rsidRPr="006545AD">
              <w:rPr>
                <w:rFonts w:ascii="Times New Roman" w:eastAsia="Times New Roman" w:hAnsi="Times New Roman" w:cs="Times New Roman"/>
                <w:sz w:val="28"/>
                <w:szCs w:val="28"/>
              </w:rPr>
              <w:t xml:space="preserve"> 100</w:t>
            </w:r>
          </w:p>
        </w:tc>
      </w:tr>
      <w:tr w:rsidR="00D473D2" w:rsidRPr="006545AD" w14:paraId="278964EE" w14:textId="77777777" w:rsidTr="005725BC">
        <w:trPr>
          <w:trHeight w:val="31"/>
          <w:jc w:val="center"/>
        </w:trPr>
        <w:tc>
          <w:tcPr>
            <w:tcW w:w="3494" w:type="dxa"/>
            <w:vMerge/>
            <w:tcBorders>
              <w:top w:val="nil"/>
              <w:left w:val="nil"/>
              <w:bottom w:val="nil"/>
              <w:right w:val="nil"/>
            </w:tcBorders>
            <w:vAlign w:val="center"/>
          </w:tcPr>
          <w:p w14:paraId="25D5C12C" w14:textId="77777777" w:rsidR="00D473D2" w:rsidRPr="006545AD" w:rsidRDefault="00D473D2" w:rsidP="005B04E9">
            <w:pPr>
              <w:spacing w:before="60" w:after="60" w:line="360" w:lineRule="exact"/>
              <w:jc w:val="both"/>
              <w:rPr>
                <w:rFonts w:ascii="Times New Roman" w:eastAsia="Times New Roman" w:hAnsi="Times New Roman" w:cs="Times New Roman"/>
                <w:sz w:val="28"/>
                <w:szCs w:val="28"/>
              </w:rPr>
            </w:pPr>
          </w:p>
        </w:tc>
        <w:tc>
          <w:tcPr>
            <w:tcW w:w="374" w:type="dxa"/>
            <w:vMerge/>
            <w:tcBorders>
              <w:top w:val="nil"/>
              <w:left w:val="nil"/>
              <w:bottom w:val="nil"/>
              <w:right w:val="nil"/>
            </w:tcBorders>
            <w:vAlign w:val="center"/>
          </w:tcPr>
          <w:p w14:paraId="146073ED" w14:textId="77777777" w:rsidR="00D473D2" w:rsidRPr="006545AD" w:rsidRDefault="00D473D2" w:rsidP="005B04E9">
            <w:pPr>
              <w:spacing w:before="60" w:after="60" w:line="360" w:lineRule="exact"/>
              <w:jc w:val="both"/>
              <w:rPr>
                <w:rFonts w:ascii="Times New Roman" w:eastAsia="Times New Roman" w:hAnsi="Times New Roman" w:cs="Times New Roman"/>
                <w:sz w:val="28"/>
                <w:szCs w:val="28"/>
              </w:rPr>
            </w:pPr>
          </w:p>
        </w:tc>
        <w:tc>
          <w:tcPr>
            <w:tcW w:w="4070" w:type="dxa"/>
            <w:tcBorders>
              <w:top w:val="single" w:sz="4" w:space="0" w:color="auto"/>
              <w:left w:val="nil"/>
              <w:bottom w:val="nil"/>
              <w:right w:val="nil"/>
            </w:tcBorders>
            <w:vAlign w:val="center"/>
          </w:tcPr>
          <w:p w14:paraId="534C14C0" w14:textId="77777777" w:rsidR="00D473D2" w:rsidRPr="006545AD" w:rsidRDefault="00D473D2"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diện tích đất tự nhiên  </w:t>
            </w:r>
          </w:p>
        </w:tc>
        <w:tc>
          <w:tcPr>
            <w:tcW w:w="851" w:type="dxa"/>
            <w:vMerge/>
            <w:tcBorders>
              <w:top w:val="nil"/>
              <w:left w:val="nil"/>
              <w:bottom w:val="nil"/>
              <w:right w:val="nil"/>
            </w:tcBorders>
            <w:vAlign w:val="center"/>
          </w:tcPr>
          <w:p w14:paraId="28C4F8CC" w14:textId="77777777" w:rsidR="00D473D2" w:rsidRPr="006545AD" w:rsidRDefault="00D473D2" w:rsidP="005B04E9">
            <w:pPr>
              <w:spacing w:before="60" w:after="60" w:line="360" w:lineRule="exact"/>
              <w:jc w:val="both"/>
              <w:rPr>
                <w:rFonts w:ascii="Times New Roman" w:eastAsia="Times New Roman" w:hAnsi="Times New Roman" w:cs="Times New Roman"/>
                <w:sz w:val="28"/>
                <w:szCs w:val="28"/>
              </w:rPr>
            </w:pPr>
          </w:p>
        </w:tc>
      </w:tr>
    </w:tbl>
    <w:p w14:paraId="5CF1C87D" w14:textId="77777777" w:rsidR="00F408D5" w:rsidRPr="006545AD" w:rsidRDefault="00224DB4" w:rsidP="0098486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b/>
          <w:sz w:val="28"/>
          <w:szCs w:val="28"/>
        </w:rPr>
        <w:t>2. Phân tổ chủ yếu</w:t>
      </w:r>
    </w:p>
    <w:p w14:paraId="42A54EE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Rừng tự nhiên, rừng sản xuất, tỷ lệ che phủ rừng;</w:t>
      </w:r>
    </w:p>
    <w:p w14:paraId="5AD1F36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w:t>
      </w:r>
      <w:r w:rsidR="003C717E" w:rsidRPr="006545AD">
        <w:rPr>
          <w:rFonts w:ascii="Times New Roman" w:eastAsia="Times New Roman" w:hAnsi="Times New Roman" w:cs="Times New Roman"/>
          <w:sz w:val="28"/>
          <w:szCs w:val="28"/>
        </w:rPr>
        <w:t>,</w:t>
      </w:r>
      <w:r w:rsidRPr="006545AD">
        <w:rPr>
          <w:rFonts w:ascii="Times New Roman" w:eastAsia="Times New Roman" w:hAnsi="Times New Roman" w:cs="Times New Roman"/>
          <w:sz w:val="28"/>
          <w:szCs w:val="28"/>
        </w:rPr>
        <w:t xml:space="preserve"> thành phố trực thuộc Trung ương</w:t>
      </w:r>
      <w:r w:rsidR="00984868" w:rsidRPr="006545AD">
        <w:rPr>
          <w:rFonts w:ascii="Times New Roman" w:eastAsia="Times New Roman" w:hAnsi="Times New Roman" w:cs="Times New Roman"/>
          <w:sz w:val="28"/>
          <w:szCs w:val="28"/>
        </w:rPr>
        <w:t>.</w:t>
      </w:r>
    </w:p>
    <w:p w14:paraId="4373825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Năm</w:t>
      </w:r>
      <w:r w:rsidR="00984868" w:rsidRPr="006545AD">
        <w:rPr>
          <w:rFonts w:ascii="Times New Roman" w:eastAsia="Times New Roman" w:hAnsi="Times New Roman" w:cs="Times New Roman"/>
          <w:sz w:val="28"/>
          <w:szCs w:val="28"/>
        </w:rPr>
        <w:t>.</w:t>
      </w:r>
    </w:p>
    <w:p w14:paraId="415B5DB4"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69269B07"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kiểm kê rừng;</w:t>
      </w:r>
    </w:p>
    <w:p w14:paraId="0916572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cấp quốc gia.</w:t>
      </w:r>
    </w:p>
    <w:p w14:paraId="391B27F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5. Cơ quan chịu trách nhiệm thu thập, tổng hợp</w:t>
      </w:r>
      <w:r w:rsidR="00984868" w:rsidRPr="006545AD">
        <w:rPr>
          <w:rFonts w:ascii="Times New Roman" w:eastAsia="Times New Roman" w:hAnsi="Times New Roman" w:cs="Times New Roman"/>
          <w:sz w:val="28"/>
          <w:szCs w:val="28"/>
        </w:rPr>
        <w:t xml:space="preserve">: </w:t>
      </w:r>
      <w:r w:rsidR="003C717E" w:rsidRPr="006545AD">
        <w:rPr>
          <w:rFonts w:ascii="Times New Roman" w:eastAsia="Times New Roman" w:hAnsi="Times New Roman" w:cs="Times New Roman"/>
          <w:sz w:val="28"/>
          <w:szCs w:val="28"/>
        </w:rPr>
        <w:t>Bộ Nông nghiệp và P</w:t>
      </w:r>
      <w:r w:rsidRPr="006545AD">
        <w:rPr>
          <w:rFonts w:ascii="Times New Roman" w:eastAsia="Times New Roman" w:hAnsi="Times New Roman" w:cs="Times New Roman"/>
          <w:sz w:val="28"/>
          <w:szCs w:val="28"/>
        </w:rPr>
        <w:t>hát triển nông thôn</w:t>
      </w:r>
      <w:r w:rsidR="00984868" w:rsidRPr="006545AD">
        <w:rPr>
          <w:rFonts w:ascii="Times New Roman" w:eastAsia="Times New Roman" w:hAnsi="Times New Roman" w:cs="Times New Roman"/>
          <w:sz w:val="28"/>
          <w:szCs w:val="28"/>
        </w:rPr>
        <w:t>.</w:t>
      </w:r>
    </w:p>
    <w:p w14:paraId="1190B637" w14:textId="669AC79F" w:rsidR="00584572" w:rsidRPr="006545AD" w:rsidRDefault="00224DB4" w:rsidP="0058457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E87F73" w:rsidRPr="006545AD">
        <w:rPr>
          <w:rFonts w:ascii="Times New Roman" w:eastAsia="Times New Roman" w:hAnsi="Times New Roman" w:cs="Times New Roman"/>
          <w:b/>
          <w:sz w:val="28"/>
          <w:szCs w:val="28"/>
        </w:rPr>
        <w:t>2.32</w:t>
      </w:r>
      <w:r w:rsidR="00584572" w:rsidRPr="006545AD">
        <w:rPr>
          <w:rFonts w:ascii="Times New Roman" w:eastAsia="Times New Roman" w:hAnsi="Times New Roman" w:cs="Times New Roman"/>
          <w:b/>
          <w:sz w:val="28"/>
          <w:szCs w:val="28"/>
        </w:rPr>
        <w:t xml:space="preserve">. </w:t>
      </w:r>
      <w:r w:rsidR="00584572" w:rsidRPr="006545AD">
        <w:rPr>
          <w:rStyle w:val="fontstyle01"/>
          <w:i w:val="0"/>
        </w:rPr>
        <w:t xml:space="preserve">Tỷ lệ diện tích hệ sinh thái đất ngập nước tự nhiên và hệ sinh thái biển được phục </w:t>
      </w:r>
      <w:commentRangeStart w:id="1"/>
      <w:r w:rsidR="00584572" w:rsidRPr="006545AD">
        <w:rPr>
          <w:rStyle w:val="fontstyle01"/>
          <w:i w:val="0"/>
        </w:rPr>
        <w:t>hồi</w:t>
      </w:r>
      <w:commentRangeEnd w:id="1"/>
      <w:r w:rsidR="00584572" w:rsidRPr="006545AD">
        <w:rPr>
          <w:rStyle w:val="CommentReference"/>
        </w:rPr>
        <w:commentReference w:id="1"/>
      </w:r>
      <w:r w:rsidR="00584572" w:rsidRPr="006545AD">
        <w:t xml:space="preserve"> </w:t>
      </w:r>
      <w:r w:rsidR="00584572" w:rsidRPr="006545AD">
        <w:rPr>
          <w:rFonts w:ascii="Times New Roman" w:eastAsia="Times New Roman" w:hAnsi="Times New Roman" w:cs="Times New Roman"/>
          <w:b/>
          <w:sz w:val="28"/>
          <w:szCs w:val="28"/>
        </w:rPr>
        <w:t xml:space="preserve"> </w:t>
      </w:r>
    </w:p>
    <w:p w14:paraId="77AB1765" w14:textId="77777777" w:rsidR="00584572" w:rsidRPr="006545AD" w:rsidRDefault="00584572" w:rsidP="0058457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ab/>
        <w:t>1. Khái niệm, phương pháp tính</w:t>
      </w:r>
    </w:p>
    <w:p w14:paraId="79AD7F77" w14:textId="77777777" w:rsidR="00584572" w:rsidRPr="006545AD" w:rsidRDefault="00584572" w:rsidP="00584572">
      <w:pPr>
        <w:spacing w:before="60" w:after="60" w:line="360" w:lineRule="exact"/>
        <w:jc w:val="both"/>
        <w:rPr>
          <w:rFonts w:ascii="Times New Roman" w:eastAsia="Times New Roman" w:hAnsi="Times New Roman" w:cs="Times New Roman"/>
          <w:b/>
          <w:spacing w:val="-4"/>
          <w:sz w:val="28"/>
          <w:szCs w:val="28"/>
        </w:rPr>
      </w:pPr>
      <w:r w:rsidRPr="006545AD">
        <w:rPr>
          <w:rFonts w:ascii="Times New Roman" w:eastAsia="Times New Roman" w:hAnsi="Times New Roman" w:cs="Times New Roman"/>
          <w:sz w:val="28"/>
          <w:szCs w:val="28"/>
        </w:rPr>
        <w:tab/>
      </w:r>
      <w:r w:rsidRPr="006545AD">
        <w:rPr>
          <w:rStyle w:val="fontstyle01"/>
          <w:b w:val="0"/>
          <w:i w:val="0"/>
          <w:spacing w:val="-4"/>
        </w:rPr>
        <w:t>Tỷ lệ diện tích hệ sinh thái đất ngập nước tự nhiên và hệ sinh thái biển được phục hồi</w:t>
      </w:r>
      <w:r w:rsidRPr="006545AD">
        <w:rPr>
          <w:b/>
          <w:spacing w:val="-4"/>
        </w:rPr>
        <w:t xml:space="preserve"> </w:t>
      </w:r>
      <w:r w:rsidRPr="006545AD">
        <w:rPr>
          <w:rFonts w:ascii="Times New Roman" w:eastAsia="Times New Roman" w:hAnsi="Times New Roman" w:cs="Times New Roman"/>
          <w:spacing w:val="-4"/>
          <w:sz w:val="28"/>
          <w:szCs w:val="28"/>
        </w:rPr>
        <w:t>là</w:t>
      </w:r>
      <w:r w:rsidRPr="006545AD">
        <w:rPr>
          <w:rFonts w:ascii="Times New Roman" w:eastAsia="Times New Roman" w:hAnsi="Times New Roman" w:cs="Times New Roman"/>
          <w:b/>
          <w:spacing w:val="-4"/>
          <w:sz w:val="28"/>
          <w:szCs w:val="28"/>
        </w:rPr>
        <w:t xml:space="preserve"> </w:t>
      </w:r>
      <w:r w:rsidRPr="006545AD">
        <w:rPr>
          <w:rFonts w:ascii="Times New Roman" w:eastAsia="Times New Roman" w:hAnsi="Times New Roman" w:cs="Times New Roman"/>
          <w:spacing w:val="-4"/>
          <w:sz w:val="28"/>
          <w:szCs w:val="28"/>
        </w:rPr>
        <w:t>tỷ lệ phần trăm giữa</w:t>
      </w:r>
      <w:r w:rsidRPr="006545AD">
        <w:rPr>
          <w:rFonts w:ascii="Times New Roman" w:eastAsia="Times New Roman" w:hAnsi="Times New Roman" w:cs="Times New Roman"/>
          <w:b/>
          <w:spacing w:val="-4"/>
          <w:sz w:val="28"/>
          <w:szCs w:val="28"/>
        </w:rPr>
        <w:t xml:space="preserve"> </w:t>
      </w:r>
      <w:r w:rsidRPr="006545AD">
        <w:rPr>
          <w:rStyle w:val="fontstyle01"/>
          <w:b w:val="0"/>
          <w:i w:val="0"/>
          <w:spacing w:val="-4"/>
        </w:rPr>
        <w:t>diện tích hệ sinh thái đất ngập nước tự nhiên và hệ sinh thái biển</w:t>
      </w:r>
      <w:r w:rsidRPr="006545AD">
        <w:rPr>
          <w:rFonts w:ascii="Times New Roman" w:eastAsia="Times New Roman" w:hAnsi="Times New Roman" w:cs="Times New Roman"/>
          <w:b/>
          <w:spacing w:val="-4"/>
          <w:sz w:val="28"/>
          <w:szCs w:val="28"/>
        </w:rPr>
        <w:t xml:space="preserve"> </w:t>
      </w:r>
      <w:r w:rsidRPr="006545AD">
        <w:rPr>
          <w:rFonts w:ascii="Times New Roman" w:eastAsia="Times New Roman" w:hAnsi="Times New Roman" w:cs="Times New Roman"/>
          <w:spacing w:val="-4"/>
          <w:sz w:val="28"/>
          <w:szCs w:val="28"/>
        </w:rPr>
        <w:t>suy thoái</w:t>
      </w:r>
      <w:r w:rsidRPr="006545AD">
        <w:rPr>
          <w:rFonts w:ascii="Times New Roman" w:eastAsia="Times New Roman" w:hAnsi="Times New Roman" w:cs="Times New Roman"/>
          <w:b/>
          <w:spacing w:val="-4"/>
          <w:sz w:val="28"/>
          <w:szCs w:val="28"/>
        </w:rPr>
        <w:t xml:space="preserve"> </w:t>
      </w:r>
      <w:r w:rsidRPr="006545AD">
        <w:rPr>
          <w:rFonts w:ascii="Times New Roman" w:eastAsia="Times New Roman" w:hAnsi="Times New Roman" w:cs="Times New Roman"/>
          <w:spacing w:val="-4"/>
          <w:sz w:val="28"/>
          <w:szCs w:val="28"/>
        </w:rPr>
        <w:t>được phục hồi so với tổng diện tích hệ sinh thái</w:t>
      </w:r>
      <w:r w:rsidRPr="006545AD">
        <w:rPr>
          <w:rFonts w:ascii="Times New Roman" w:eastAsia="Times New Roman" w:hAnsi="Times New Roman" w:cs="Times New Roman"/>
          <w:b/>
          <w:spacing w:val="-4"/>
          <w:sz w:val="28"/>
          <w:szCs w:val="28"/>
        </w:rPr>
        <w:t xml:space="preserve"> </w:t>
      </w:r>
      <w:r w:rsidRPr="006545AD">
        <w:rPr>
          <w:rStyle w:val="fontstyle01"/>
          <w:b w:val="0"/>
          <w:i w:val="0"/>
          <w:spacing w:val="-4"/>
        </w:rPr>
        <w:t>đất ngập nước tự nhiên và hệ sinh thái biển</w:t>
      </w:r>
      <w:r w:rsidRPr="006545AD">
        <w:rPr>
          <w:rFonts w:ascii="Times New Roman" w:eastAsia="Times New Roman" w:hAnsi="Times New Roman" w:cs="Times New Roman"/>
          <w:b/>
          <w:spacing w:val="-4"/>
          <w:sz w:val="28"/>
          <w:szCs w:val="28"/>
        </w:rPr>
        <w:t xml:space="preserve"> </w:t>
      </w:r>
      <w:r w:rsidRPr="006545AD">
        <w:rPr>
          <w:rFonts w:ascii="Times New Roman" w:eastAsia="Times New Roman" w:hAnsi="Times New Roman" w:cs="Times New Roman"/>
          <w:spacing w:val="-4"/>
          <w:sz w:val="28"/>
          <w:szCs w:val="28"/>
        </w:rPr>
        <w:t>suy thoái.</w:t>
      </w:r>
    </w:p>
    <w:p w14:paraId="0FFFE927" w14:textId="77777777"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Hệ sinh thái đất ngập nước tự nhiên là vùng đầm lầy, than bùn hoặc vùng ngập nước thường xuyên hoặc tạm thời, kể cả vùng biển có độ sâu không quá 6 mét khi ngấn nước thủy triều thấp nhất. Đất ngập nước tự nhiên được chia làm 2 nhóm chính:</w:t>
      </w:r>
    </w:p>
    <w:p w14:paraId="67A02674" w14:textId="77777777" w:rsidR="00584572" w:rsidRPr="006545AD" w:rsidRDefault="00584572" w:rsidP="00584572">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Đất ngập nước biển, ven biển (còn gọi đất ngập nước mặn - lợ) là những vùng đất ngập nước mặn, lợ ở ven biển, những đảo nhỏ và những vùng ven đảo lớn, chịu ảnh hưởng bởi thủy triều ven biển, bao gồm: Vùng biển nông ven bờ, bao gồm cả vũng, vịnh có độ sâu không quá 6m khi ngấn nước thủy triều thấp nhất; Thảm cỏ biển; Rạn san hô; Các vùng bờ biển có vách đá, kể cả vùng có vách đá ngoài khơi; Bãi vùng gian triều, bao gồm cả bãi bùn sét, cát, sỏi, cuội, cồn cát; Vùng nước cửa sông; Rừng ngập mặn; Đầm, phá ven biển.</w:t>
      </w:r>
    </w:p>
    <w:p w14:paraId="05F00D35" w14:textId="77777777" w:rsidR="00584572" w:rsidRPr="006545AD" w:rsidRDefault="00584572" w:rsidP="00584572">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Đất ngập nước nội địa (còn gọi đất ngập nước ngọt) là những vùng đất ngập nước nằm trong lục địa hoặc nằm gần ven biển bao gồm: Sông, suối có nước thường xuyên, Sông, suối có nước theo mùa; Hồ tự nhiên; Vùng đất than bùn có rừng, cây bụi hoặc không có thực vật che phủ; Vùng ngập nước có cây bụi chiếm ưu thế và ngập nước theo mùa; Vùng ngập nước có cây gỗ chiếm ưu thế và ngập nước theo mùa; Suối, điểm nước nóng, nước khoáng; Hệ thống thủy văn ngầm các-xtơ và hang, động nội địa.</w:t>
      </w:r>
    </w:p>
    <w:p w14:paraId="65374E4B" w14:textId="77777777" w:rsidR="00584572" w:rsidRPr="006545AD" w:rsidRDefault="00584572" w:rsidP="00584572">
      <w:pPr>
        <w:spacing w:before="60" w:after="60" w:line="360" w:lineRule="exact"/>
        <w:ind w:firstLine="709"/>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Hệ sinh thái biển là tổ hợp các quần xã sinh vật biển, môi trường biển, các sinh vật biển chúng tương tác với môi trường biển tạo để tạo nên chu trình vật chất (chu trình sinh, địa, hóa và sự chuyển hóa của năng lượng ở biển), bao gồm: Các hệ sinh thái gần bờ (như ruộng muối, bãi bồi, đồng cỏ biển, rừng ngập mặn, hệ thống bãi triều đá và các rạn san hô ngầm...), các hệ sinh thái xa bờ (bao gồm các hệ sinh thái ngoài khơi, đại dương, nước biển bề mặt, biển sâu, miệng phun thủy nhiệt đại dương và đáy biển...). Các hệ sinh thái biển được đặc trưng bởi quần xã sinh vật liên kết với chúng và môi trường vật chất của chúng.</w:t>
      </w:r>
    </w:p>
    <w:p w14:paraId="15C37B40" w14:textId="77777777"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Hệ sinh thái bị suy thoái là hiện trạng hệ sinh thái bị tác động lớn từ yếu tố khách quan và chủ quan khiến các hệ sinh thái ngày càng thu hẹp, tính đa dạng sinh học bị nghèo nàn, có thể dẫn đến tiệt chủng các loại thực vật, động vật nằm trong danh mục cần ưu tiên bảo vệ. </w:t>
      </w:r>
    </w:p>
    <w:p w14:paraId="46D99222" w14:textId="6F9A6B0C" w:rsidR="00702499" w:rsidRPr="009E1776" w:rsidRDefault="00584572" w:rsidP="00584572">
      <w:pPr>
        <w:spacing w:before="60" w:after="60" w:line="360" w:lineRule="exact"/>
        <w:jc w:val="both"/>
        <w:rPr>
          <w:rFonts w:ascii="Times New Roman" w:eastAsia="Times New Roman" w:hAnsi="Times New Roman" w:cs="Times New Roman"/>
          <w:spacing w:val="-2"/>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pacing w:val="-2"/>
          <w:sz w:val="28"/>
          <w:szCs w:val="28"/>
        </w:rPr>
        <w:t xml:space="preserve">Hệ sinh thái được phục hồi là hiện trạng hệ sinh thái bị suy thoái đã được phục hồi, tái tạo trở thành nơi có sự sống tương đương với thời gian trước suy thoái. </w:t>
      </w:r>
    </w:p>
    <w:p w14:paraId="6F349E7B" w14:textId="23C7F034" w:rsidR="00584572" w:rsidRPr="006545AD" w:rsidRDefault="00702499"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584572" w:rsidRPr="006545AD">
        <w:rPr>
          <w:rFonts w:ascii="Times New Roman" w:eastAsia="Times New Roman" w:hAnsi="Times New Roman" w:cs="Times New Roman"/>
          <w:sz w:val="28"/>
          <w:szCs w:val="28"/>
        </w:rPr>
        <w:t xml:space="preserve">Công thức tính: </w:t>
      </w:r>
    </w:p>
    <w:tbl>
      <w:tblPr>
        <w:tblStyle w:val="TableGrid"/>
        <w:tblW w:w="5000" w:type="pct"/>
        <w:jc w:val="center"/>
        <w:tblLook w:val="04A0" w:firstRow="1" w:lastRow="0" w:firstColumn="1" w:lastColumn="0" w:noHBand="0" w:noVBand="1"/>
      </w:tblPr>
      <w:tblGrid>
        <w:gridCol w:w="2553"/>
        <w:gridCol w:w="425"/>
        <w:gridCol w:w="5102"/>
        <w:gridCol w:w="992"/>
      </w:tblGrid>
      <w:tr w:rsidR="00584572" w:rsidRPr="006545AD" w14:paraId="7080E4E1" w14:textId="77777777" w:rsidTr="00B307A2">
        <w:trPr>
          <w:trHeight w:val="298"/>
          <w:jc w:val="center"/>
        </w:trPr>
        <w:tc>
          <w:tcPr>
            <w:tcW w:w="1407" w:type="pct"/>
            <w:vMerge w:val="restart"/>
            <w:tcBorders>
              <w:top w:val="nil"/>
              <w:left w:val="nil"/>
              <w:bottom w:val="nil"/>
              <w:right w:val="nil"/>
            </w:tcBorders>
            <w:vAlign w:val="center"/>
          </w:tcPr>
          <w:p w14:paraId="50B0C35A"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Tỷ lệ diện tích hệ sinh thái đất ngập nước tự nhiên và hệ  sinh thái biển suy thoái được phục hồi (%)</w:t>
            </w:r>
          </w:p>
        </w:tc>
        <w:tc>
          <w:tcPr>
            <w:tcW w:w="234" w:type="pct"/>
            <w:vMerge w:val="restart"/>
            <w:tcBorders>
              <w:top w:val="nil"/>
              <w:left w:val="nil"/>
              <w:bottom w:val="nil"/>
              <w:right w:val="nil"/>
            </w:tcBorders>
            <w:vAlign w:val="center"/>
          </w:tcPr>
          <w:p w14:paraId="2843387A" w14:textId="77777777" w:rsidR="00584572" w:rsidRPr="006545AD" w:rsidRDefault="00584572" w:rsidP="00B307A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812" w:type="pct"/>
            <w:tcBorders>
              <w:top w:val="nil"/>
              <w:left w:val="nil"/>
              <w:bottom w:val="single" w:sz="4" w:space="0" w:color="auto"/>
              <w:right w:val="nil"/>
            </w:tcBorders>
            <w:vAlign w:val="center"/>
          </w:tcPr>
          <w:p w14:paraId="35DA5F90"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hệ sinh thái đất ngập nước tự nhiên và hệ sinh thái biển suy thoái được phục hồi</w:t>
            </w:r>
          </w:p>
        </w:tc>
        <w:tc>
          <w:tcPr>
            <w:tcW w:w="547" w:type="pct"/>
            <w:vMerge w:val="restart"/>
            <w:tcBorders>
              <w:top w:val="nil"/>
              <w:left w:val="nil"/>
              <w:right w:val="nil"/>
            </w:tcBorders>
            <w:vAlign w:val="center"/>
          </w:tcPr>
          <w:p w14:paraId="1590D67B"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sz w:val="26"/>
                <w:szCs w:val="26"/>
              </w:rPr>
              <w:t>×</w:t>
            </w:r>
            <w:r w:rsidRPr="006545AD">
              <w:rPr>
                <w:rFonts w:ascii="Times New Roman" w:eastAsia="Times New Roman" w:hAnsi="Times New Roman" w:cs="Times New Roman"/>
                <w:sz w:val="28"/>
                <w:szCs w:val="28"/>
              </w:rPr>
              <w:t xml:space="preserve"> 100</w:t>
            </w:r>
          </w:p>
        </w:tc>
      </w:tr>
      <w:tr w:rsidR="00584572" w:rsidRPr="006545AD" w14:paraId="429E5E45" w14:textId="77777777" w:rsidTr="00B307A2">
        <w:trPr>
          <w:trHeight w:val="22"/>
          <w:jc w:val="center"/>
        </w:trPr>
        <w:tc>
          <w:tcPr>
            <w:tcW w:w="1407" w:type="pct"/>
            <w:vMerge/>
            <w:tcBorders>
              <w:top w:val="nil"/>
              <w:left w:val="nil"/>
              <w:bottom w:val="nil"/>
              <w:right w:val="nil"/>
            </w:tcBorders>
            <w:vAlign w:val="center"/>
          </w:tcPr>
          <w:p w14:paraId="1BD96E6C" w14:textId="77777777" w:rsidR="00584572" w:rsidRPr="006545AD" w:rsidRDefault="00584572" w:rsidP="00B307A2">
            <w:pPr>
              <w:spacing w:before="60" w:after="60" w:line="360" w:lineRule="exact"/>
              <w:jc w:val="both"/>
              <w:rPr>
                <w:rFonts w:ascii="Times New Roman" w:eastAsia="Times New Roman" w:hAnsi="Times New Roman" w:cs="Times New Roman"/>
                <w:sz w:val="28"/>
                <w:szCs w:val="28"/>
              </w:rPr>
            </w:pPr>
          </w:p>
        </w:tc>
        <w:tc>
          <w:tcPr>
            <w:tcW w:w="234" w:type="pct"/>
            <w:vMerge/>
            <w:tcBorders>
              <w:top w:val="nil"/>
              <w:left w:val="nil"/>
              <w:bottom w:val="nil"/>
              <w:right w:val="nil"/>
            </w:tcBorders>
            <w:vAlign w:val="center"/>
          </w:tcPr>
          <w:p w14:paraId="7F6DE140" w14:textId="77777777" w:rsidR="00584572" w:rsidRPr="006545AD" w:rsidRDefault="00584572" w:rsidP="00B307A2">
            <w:pPr>
              <w:spacing w:before="60" w:after="60" w:line="360" w:lineRule="exact"/>
              <w:jc w:val="both"/>
              <w:rPr>
                <w:rFonts w:ascii="Times New Roman" w:eastAsia="Times New Roman" w:hAnsi="Times New Roman" w:cs="Times New Roman"/>
                <w:sz w:val="28"/>
                <w:szCs w:val="28"/>
              </w:rPr>
            </w:pPr>
          </w:p>
        </w:tc>
        <w:tc>
          <w:tcPr>
            <w:tcW w:w="2812" w:type="pct"/>
            <w:tcBorders>
              <w:top w:val="single" w:sz="4" w:space="0" w:color="auto"/>
              <w:left w:val="nil"/>
              <w:bottom w:val="nil"/>
              <w:right w:val="nil"/>
            </w:tcBorders>
            <w:vAlign w:val="center"/>
          </w:tcPr>
          <w:p w14:paraId="3567410C"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đất ngập nước tự nhiên và</w:t>
            </w:r>
            <w:r w:rsidRPr="006545AD">
              <w:rPr>
                <w:rFonts w:ascii="Times New Roman" w:eastAsia="Times New Roman" w:hAnsi="Times New Roman" w:cs="Times New Roman"/>
                <w:sz w:val="28"/>
                <w:szCs w:val="28"/>
              </w:rPr>
              <w:br/>
              <w:t xml:space="preserve"> hệ sinh thái biển suy thoái</w:t>
            </w:r>
          </w:p>
        </w:tc>
        <w:tc>
          <w:tcPr>
            <w:tcW w:w="547" w:type="pct"/>
            <w:vMerge/>
            <w:tcBorders>
              <w:left w:val="nil"/>
              <w:bottom w:val="nil"/>
              <w:right w:val="nil"/>
            </w:tcBorders>
            <w:vAlign w:val="center"/>
          </w:tcPr>
          <w:p w14:paraId="5537394F"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p>
        </w:tc>
      </w:tr>
    </w:tbl>
    <w:p w14:paraId="50935D59" w14:textId="77777777" w:rsidR="00584572" w:rsidRPr="006545AD" w:rsidRDefault="00584572" w:rsidP="00584572">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 xml:space="preserve"> 2. Phân tổ chủ yếu</w:t>
      </w:r>
    </w:p>
    <w:p w14:paraId="407108D5"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Hệ sinh thái đất ngập nước tự nhiên;</w:t>
      </w:r>
    </w:p>
    <w:p w14:paraId="4B6CA3A0"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Hệ sinh thái biển;</w:t>
      </w:r>
    </w:p>
    <w:p w14:paraId="21CE1F92"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5 năm.</w:t>
      </w:r>
    </w:p>
    <w:p w14:paraId="7B9DF3D6" w14:textId="77777777" w:rsidR="00584572" w:rsidRPr="006545AD" w:rsidRDefault="00584572" w:rsidP="00584572">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4. Nguồn số liệu:</w:t>
      </w:r>
    </w:p>
    <w:p w14:paraId="75A043BD"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 Chế độ báo cáo thống kê của Bộ Tài nguyên và Môi trường </w:t>
      </w:r>
    </w:p>
    <w:p w14:paraId="20539230"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Điều tra thống kê.</w:t>
      </w:r>
    </w:p>
    <w:p w14:paraId="69E83ED0" w14:textId="1EB75AFC" w:rsidR="00584572" w:rsidRPr="009E1776" w:rsidRDefault="00584572" w:rsidP="00584572">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5. Cơ quan chịu trách nhiệm thu thập, tổng hợp:</w:t>
      </w:r>
      <w:r w:rsidR="000B3ABE"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Bộ Tài nguyên</w:t>
      </w:r>
      <w:r w:rsidR="000B3ABE" w:rsidRPr="006545AD">
        <w:rPr>
          <w:rFonts w:ascii="Times New Roman" w:eastAsia="Times New Roman" w:hAnsi="Times New Roman" w:cs="Times New Roman"/>
          <w:sz w:val="28"/>
          <w:szCs w:val="28"/>
        </w:rPr>
        <w:t xml:space="preserve"> và</w:t>
      </w:r>
      <w:r w:rsidRPr="006545AD">
        <w:rPr>
          <w:rFonts w:ascii="Times New Roman" w:eastAsia="Times New Roman" w:hAnsi="Times New Roman" w:cs="Times New Roman"/>
          <w:sz w:val="28"/>
          <w:szCs w:val="28"/>
        </w:rPr>
        <w:t xml:space="preserve"> Môi trường </w:t>
      </w:r>
    </w:p>
    <w:p w14:paraId="0DBE9EBD" w14:textId="7CF2ABFE" w:rsidR="00584572" w:rsidRPr="006545AD" w:rsidRDefault="00584572" w:rsidP="00584572">
      <w:pPr>
        <w:spacing w:before="60" w:after="60" w:line="340" w:lineRule="exact"/>
        <w:rPr>
          <w:rFonts w:ascii="Times New Roman" w:eastAsia="Times New Roman" w:hAnsi="Times New Roman" w:cs="Times New Roman"/>
          <w:b/>
          <w:spacing w:val="-4"/>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b/>
          <w:spacing w:val="-4"/>
          <w:sz w:val="28"/>
          <w:szCs w:val="28"/>
        </w:rPr>
        <w:t>2.</w:t>
      </w:r>
      <w:r w:rsidR="000917E7" w:rsidRPr="006545AD">
        <w:rPr>
          <w:rFonts w:ascii="Times New Roman" w:eastAsia="Times New Roman" w:hAnsi="Times New Roman" w:cs="Times New Roman"/>
          <w:b/>
          <w:spacing w:val="-4"/>
          <w:sz w:val="28"/>
          <w:szCs w:val="28"/>
        </w:rPr>
        <w:t>33</w:t>
      </w:r>
      <w:r w:rsidRPr="006545AD">
        <w:rPr>
          <w:rFonts w:ascii="Times New Roman" w:eastAsia="Times New Roman" w:hAnsi="Times New Roman" w:cs="Times New Roman"/>
          <w:b/>
          <w:spacing w:val="-4"/>
          <w:sz w:val="28"/>
          <w:szCs w:val="28"/>
        </w:rPr>
        <w:t xml:space="preserve">. </w:t>
      </w:r>
      <w:r w:rsidRPr="006545AD">
        <w:rPr>
          <w:rStyle w:val="fontstyle01"/>
          <w:i w:val="0"/>
          <w:spacing w:val="-4"/>
        </w:rPr>
        <w:t>Tỷ lệ diện tích hệ sinh thái rừng tự nhiên suy thoái được phục hồi</w:t>
      </w:r>
      <w:r w:rsidRPr="006545AD">
        <w:rPr>
          <w:spacing w:val="-4"/>
        </w:rPr>
        <w:t xml:space="preserve"> </w:t>
      </w:r>
      <w:r w:rsidRPr="006545AD">
        <w:rPr>
          <w:rFonts w:ascii="Times New Roman" w:eastAsia="Times New Roman" w:hAnsi="Times New Roman" w:cs="Times New Roman"/>
          <w:b/>
          <w:spacing w:val="-4"/>
          <w:sz w:val="28"/>
          <w:szCs w:val="28"/>
        </w:rPr>
        <w:t xml:space="preserve"> </w:t>
      </w:r>
    </w:p>
    <w:p w14:paraId="64DC5EB9" w14:textId="77777777" w:rsidR="00584572" w:rsidRPr="006545AD" w:rsidRDefault="00584572" w:rsidP="00584572">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752AC388"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Tỷ lệ diện tích hệ sinh thái rừng tự nhiên suy thoái được phục hồi là tỷ lệ phần trăm giữa diện tích hệ sinh thái rừng tự nhiên suy thoái được phục hồi so với tổng diện tích hệ sinh thái rừng suy thoái.</w:t>
      </w:r>
    </w:p>
    <w:p w14:paraId="049C40EE"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Hệ sinh thái rừng tự nhiên là hệ sinh thái bao gồm các loài thực vật rừng, động vật rừng, nấm, vi sinh vật, đất rừng và các yếu tố môi trường khác.</w:t>
      </w:r>
    </w:p>
    <w:p w14:paraId="79739C23"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Hệ sinh thái rừng tự nhiên bị suy thoái là hiện trạng hệ sinh thái bị tác động lớn từ yếu tố khách quan và chủ quan khiến hệ sinh thái ngày càng thu hẹp, tính đa dạng sinh học bị nghèo nàn, có thể dẫn đến tiệt chủng các loại thực vật rừng, động vật rừng… nằm trong danh mục cần ưu tiên bảo vệ. </w:t>
      </w:r>
    </w:p>
    <w:p w14:paraId="6339D4F6" w14:textId="77777777" w:rsidR="00584572" w:rsidRPr="006545AD" w:rsidRDefault="00584572" w:rsidP="00584572">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Hệ sinh thái rừng tự nhiên được phục hồi là hiện trạng hệ sinh thái bị suy thoái đã được phục hồi, tái tạo trở thành nơi có sự sống tương đương với thời gian trước suy thoái. </w:t>
      </w:r>
    </w:p>
    <w:p w14:paraId="3CABD116" w14:textId="77777777"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Công thức tính: </w:t>
      </w:r>
    </w:p>
    <w:tbl>
      <w:tblPr>
        <w:tblStyle w:val="TableGrid"/>
        <w:tblW w:w="5000" w:type="pct"/>
        <w:jc w:val="center"/>
        <w:tblLook w:val="04A0" w:firstRow="1" w:lastRow="0" w:firstColumn="1" w:lastColumn="0" w:noHBand="0" w:noVBand="1"/>
      </w:tblPr>
      <w:tblGrid>
        <w:gridCol w:w="2553"/>
        <w:gridCol w:w="425"/>
        <w:gridCol w:w="5102"/>
        <w:gridCol w:w="992"/>
      </w:tblGrid>
      <w:tr w:rsidR="00584572" w:rsidRPr="006545AD" w14:paraId="6D7D81C0" w14:textId="77777777" w:rsidTr="00B307A2">
        <w:trPr>
          <w:trHeight w:val="298"/>
          <w:jc w:val="center"/>
        </w:trPr>
        <w:tc>
          <w:tcPr>
            <w:tcW w:w="1407" w:type="pct"/>
            <w:vMerge w:val="restart"/>
            <w:tcBorders>
              <w:top w:val="nil"/>
              <w:left w:val="nil"/>
              <w:bottom w:val="nil"/>
              <w:right w:val="nil"/>
            </w:tcBorders>
            <w:vAlign w:val="center"/>
          </w:tcPr>
          <w:p w14:paraId="26810C2A"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diện tích hệ sinh thái rừng tự nhiên suy thoái được phục hồi (%)</w:t>
            </w:r>
          </w:p>
        </w:tc>
        <w:tc>
          <w:tcPr>
            <w:tcW w:w="234" w:type="pct"/>
            <w:vMerge w:val="restart"/>
            <w:tcBorders>
              <w:top w:val="nil"/>
              <w:left w:val="nil"/>
              <w:bottom w:val="nil"/>
              <w:right w:val="nil"/>
            </w:tcBorders>
            <w:vAlign w:val="center"/>
          </w:tcPr>
          <w:p w14:paraId="3FBC7290" w14:textId="77777777" w:rsidR="00584572" w:rsidRPr="006545AD" w:rsidRDefault="00584572" w:rsidP="00B307A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812" w:type="pct"/>
            <w:tcBorders>
              <w:top w:val="nil"/>
              <w:left w:val="nil"/>
              <w:bottom w:val="single" w:sz="4" w:space="0" w:color="auto"/>
              <w:right w:val="nil"/>
            </w:tcBorders>
            <w:vAlign w:val="center"/>
          </w:tcPr>
          <w:p w14:paraId="3B83C6D8"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hệ sinh thái rừng tự nhiên suy thoái được phục hồi</w:t>
            </w:r>
          </w:p>
        </w:tc>
        <w:tc>
          <w:tcPr>
            <w:tcW w:w="547" w:type="pct"/>
            <w:vMerge w:val="restart"/>
            <w:tcBorders>
              <w:top w:val="nil"/>
              <w:left w:val="nil"/>
              <w:right w:val="nil"/>
            </w:tcBorders>
            <w:vAlign w:val="center"/>
          </w:tcPr>
          <w:p w14:paraId="49701FB7"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sz w:val="26"/>
                <w:szCs w:val="26"/>
              </w:rPr>
              <w:t>×</w:t>
            </w:r>
            <w:r w:rsidRPr="006545AD">
              <w:rPr>
                <w:rFonts w:ascii="Times New Roman" w:eastAsia="Times New Roman" w:hAnsi="Times New Roman" w:cs="Times New Roman"/>
                <w:sz w:val="28"/>
                <w:szCs w:val="28"/>
              </w:rPr>
              <w:t xml:space="preserve"> 100</w:t>
            </w:r>
          </w:p>
        </w:tc>
      </w:tr>
      <w:tr w:rsidR="00584572" w:rsidRPr="006545AD" w14:paraId="098E54DC" w14:textId="77777777" w:rsidTr="00B307A2">
        <w:trPr>
          <w:trHeight w:val="22"/>
          <w:jc w:val="center"/>
        </w:trPr>
        <w:tc>
          <w:tcPr>
            <w:tcW w:w="1407" w:type="pct"/>
            <w:vMerge/>
            <w:tcBorders>
              <w:top w:val="nil"/>
              <w:left w:val="nil"/>
              <w:bottom w:val="nil"/>
              <w:right w:val="nil"/>
            </w:tcBorders>
            <w:vAlign w:val="center"/>
          </w:tcPr>
          <w:p w14:paraId="02E78D87" w14:textId="77777777" w:rsidR="00584572" w:rsidRPr="006545AD" w:rsidRDefault="00584572" w:rsidP="00B307A2">
            <w:pPr>
              <w:spacing w:before="60" w:after="60" w:line="360" w:lineRule="exact"/>
              <w:jc w:val="both"/>
              <w:rPr>
                <w:rFonts w:ascii="Times New Roman" w:eastAsia="Times New Roman" w:hAnsi="Times New Roman" w:cs="Times New Roman"/>
                <w:sz w:val="28"/>
                <w:szCs w:val="28"/>
              </w:rPr>
            </w:pPr>
          </w:p>
        </w:tc>
        <w:tc>
          <w:tcPr>
            <w:tcW w:w="234" w:type="pct"/>
            <w:vMerge/>
            <w:tcBorders>
              <w:top w:val="nil"/>
              <w:left w:val="nil"/>
              <w:bottom w:val="nil"/>
              <w:right w:val="nil"/>
            </w:tcBorders>
            <w:vAlign w:val="center"/>
          </w:tcPr>
          <w:p w14:paraId="082D2161" w14:textId="77777777" w:rsidR="00584572" w:rsidRPr="006545AD" w:rsidRDefault="00584572" w:rsidP="00B307A2">
            <w:pPr>
              <w:spacing w:before="60" w:after="60" w:line="360" w:lineRule="exact"/>
              <w:jc w:val="both"/>
              <w:rPr>
                <w:rFonts w:ascii="Times New Roman" w:eastAsia="Times New Roman" w:hAnsi="Times New Roman" w:cs="Times New Roman"/>
                <w:sz w:val="28"/>
                <w:szCs w:val="28"/>
              </w:rPr>
            </w:pPr>
          </w:p>
        </w:tc>
        <w:tc>
          <w:tcPr>
            <w:tcW w:w="2812" w:type="pct"/>
            <w:tcBorders>
              <w:top w:val="single" w:sz="4" w:space="0" w:color="auto"/>
              <w:left w:val="nil"/>
              <w:bottom w:val="nil"/>
              <w:right w:val="nil"/>
            </w:tcBorders>
            <w:vAlign w:val="center"/>
          </w:tcPr>
          <w:p w14:paraId="46663598"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Diện tích hệ sinh thái rừng tự nhiên </w:t>
            </w:r>
            <w:r w:rsidRPr="006545AD">
              <w:rPr>
                <w:rFonts w:ascii="Times New Roman" w:eastAsia="Times New Roman" w:hAnsi="Times New Roman" w:cs="Times New Roman"/>
                <w:sz w:val="28"/>
                <w:szCs w:val="28"/>
              </w:rPr>
              <w:br/>
              <w:t>suy thoái</w:t>
            </w:r>
          </w:p>
        </w:tc>
        <w:tc>
          <w:tcPr>
            <w:tcW w:w="547" w:type="pct"/>
            <w:vMerge/>
            <w:tcBorders>
              <w:left w:val="nil"/>
              <w:bottom w:val="nil"/>
              <w:right w:val="nil"/>
            </w:tcBorders>
            <w:vAlign w:val="center"/>
          </w:tcPr>
          <w:p w14:paraId="5A22F142" w14:textId="77777777" w:rsidR="00584572" w:rsidRPr="006545AD" w:rsidRDefault="00584572" w:rsidP="00B307A2">
            <w:pPr>
              <w:spacing w:before="60" w:after="60" w:line="360" w:lineRule="exact"/>
              <w:jc w:val="center"/>
              <w:rPr>
                <w:rFonts w:ascii="Times New Roman" w:eastAsia="Times New Roman" w:hAnsi="Times New Roman" w:cs="Times New Roman"/>
                <w:sz w:val="28"/>
                <w:szCs w:val="28"/>
              </w:rPr>
            </w:pPr>
          </w:p>
        </w:tc>
      </w:tr>
    </w:tbl>
    <w:p w14:paraId="345A3445" w14:textId="77777777" w:rsidR="00584572" w:rsidRPr="006545AD" w:rsidRDefault="00584572" w:rsidP="0058457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 xml:space="preserve"> 2. Phân tổ chủ yếu</w:t>
      </w:r>
    </w:p>
    <w:p w14:paraId="03940553" w14:textId="77777777"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Hệ sinh thái rừng.</w:t>
      </w:r>
    </w:p>
    <w:p w14:paraId="609CF4DA" w14:textId="77777777"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t xml:space="preserve">3. Kỳ công bố: </w:t>
      </w:r>
      <w:r w:rsidRPr="006545AD">
        <w:rPr>
          <w:rFonts w:ascii="Times New Roman" w:eastAsia="Times New Roman" w:hAnsi="Times New Roman" w:cs="Times New Roman"/>
          <w:sz w:val="28"/>
          <w:szCs w:val="28"/>
        </w:rPr>
        <w:t>5 năm.</w:t>
      </w:r>
    </w:p>
    <w:p w14:paraId="006A35C7" w14:textId="77777777" w:rsidR="00584572" w:rsidRPr="006545AD" w:rsidRDefault="00584572" w:rsidP="0058457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ab/>
        <w:t>4. Nguồn số liệu:</w:t>
      </w:r>
    </w:p>
    <w:p w14:paraId="059DB9F6" w14:textId="77777777"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Chế độ báo cáo thống kê của Bộ Nông nghiệp và Phát triển nông thôn;</w:t>
      </w:r>
    </w:p>
    <w:p w14:paraId="0EF3BB5C" w14:textId="77777777"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Điều tra thống kê.</w:t>
      </w:r>
    </w:p>
    <w:p w14:paraId="13AA80F0" w14:textId="28A62BB9" w:rsidR="00584572" w:rsidRPr="006545AD" w:rsidRDefault="00584572" w:rsidP="0058457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t>5. Cơ quan chịu trách nhiệm thu thập, tổng hợp:</w:t>
      </w:r>
      <w:r w:rsidR="000B3ABE"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Bộ Nông nghiệp và Phát triển nông thôn.</w:t>
      </w:r>
    </w:p>
    <w:p w14:paraId="3B2ACA41" w14:textId="44D45A39" w:rsidR="00F408D5" w:rsidRPr="006545AD" w:rsidRDefault="00750749" w:rsidP="0058457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781C2A" w:rsidRPr="006545AD">
        <w:rPr>
          <w:rFonts w:ascii="Times New Roman" w:eastAsia="Times New Roman" w:hAnsi="Times New Roman" w:cs="Times New Roman"/>
          <w:b/>
          <w:sz w:val="28"/>
          <w:szCs w:val="28"/>
        </w:rPr>
        <w:t>2.3</w:t>
      </w:r>
      <w:r w:rsidR="000917E7" w:rsidRPr="006545AD">
        <w:rPr>
          <w:rFonts w:ascii="Times New Roman" w:eastAsia="Times New Roman" w:hAnsi="Times New Roman" w:cs="Times New Roman"/>
          <w:b/>
          <w:sz w:val="28"/>
          <w:szCs w:val="28"/>
        </w:rPr>
        <w:t>4</w:t>
      </w:r>
      <w:r w:rsidR="00836A4E" w:rsidRPr="006545AD">
        <w:rPr>
          <w:rFonts w:ascii="Times New Roman" w:eastAsia="Times New Roman" w:hAnsi="Times New Roman" w:cs="Times New Roman"/>
          <w:b/>
          <w:sz w:val="28"/>
          <w:szCs w:val="28"/>
        </w:rPr>
        <w:t>. Tỷ</w:t>
      </w:r>
      <w:r w:rsidR="006E7C70" w:rsidRPr="006545AD">
        <w:rPr>
          <w:rFonts w:ascii="Times New Roman" w:eastAsia="Times New Roman" w:hAnsi="Times New Roman" w:cs="Times New Roman"/>
          <w:b/>
          <w:sz w:val="28"/>
          <w:szCs w:val="28"/>
        </w:rPr>
        <w:t xml:space="preserve"> lệ diện tích rừng sản xuất được cấp chứng chỉ quản lý rừng bền vững</w:t>
      </w:r>
    </w:p>
    <w:p w14:paraId="04647E20" w14:textId="64153A2D" w:rsidR="00EA101A" w:rsidRPr="006545AD" w:rsidRDefault="00750749" w:rsidP="009B7606">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D671021" w14:textId="1E474BFF" w:rsidR="00EA101A" w:rsidRPr="006545AD" w:rsidRDefault="00EA101A" w:rsidP="00EA101A">
      <w:pPr>
        <w:shd w:val="clear" w:color="auto" w:fill="FFFFFF"/>
        <w:spacing w:before="60" w:after="6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pacing w:val="-4"/>
          <w:sz w:val="28"/>
          <w:szCs w:val="28"/>
        </w:rPr>
        <w:t>Tỷ lệ diện tích rừng sản xuất được cấp chứng chỉ quản lý rừng bền vững là tỷ lệ phần trăm giữa diện tích rừng sản xuất được cấp chứng chỉ quản lý rừng bền vững so với tổng diện tích rừng sản xuất. Bổ sung công thức như ở các chỉ tiêu tỷ lệ.</w:t>
      </w:r>
    </w:p>
    <w:p w14:paraId="35E297DB" w14:textId="77777777" w:rsidR="00EA101A" w:rsidRPr="006545AD" w:rsidRDefault="00EA101A" w:rsidP="00EA101A">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Quản lý rừng bền vững: là phương thức quản trị rừng bảo đảm đạt được các mục tiêu bảo vệ và phát triển rừng, không làm suy giảm các giá trị và nâng cao giá trị rừng, cải thiện sinh kế, bảo vệ môi trường, góp phần giữ vững quốc phòng, an ninh.</w:t>
      </w:r>
    </w:p>
    <w:p w14:paraId="4534D30A" w14:textId="1690FCCE" w:rsidR="00EA101A" w:rsidRPr="006545AD" w:rsidRDefault="00EA101A" w:rsidP="00EA101A">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Chứng chỉ quản lý rừng bền vững là chứng chỉ công nhận một diện tích rừng nhất định đáp ứng các tiêu chí về quản lý rừng bền vững. Bộ tiêu chí quản lý rừng bền vững gồm 07 nguyên tắc, 34 tiêu chí và 122 chỉ số. </w:t>
      </w:r>
    </w:p>
    <w:p w14:paraId="0D2C6614" w14:textId="77777777" w:rsidR="00EA101A" w:rsidRPr="006545AD" w:rsidRDefault="00EA101A" w:rsidP="00EA101A">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TableGrid"/>
        <w:tblW w:w="5000" w:type="pct"/>
        <w:jc w:val="center"/>
        <w:tblLook w:val="04A0" w:firstRow="1" w:lastRow="0" w:firstColumn="1" w:lastColumn="0" w:noHBand="0" w:noVBand="1"/>
      </w:tblPr>
      <w:tblGrid>
        <w:gridCol w:w="2196"/>
        <w:gridCol w:w="417"/>
        <w:gridCol w:w="5309"/>
        <w:gridCol w:w="1150"/>
      </w:tblGrid>
      <w:tr w:rsidR="00EA101A" w:rsidRPr="006545AD" w14:paraId="445FA266" w14:textId="77777777" w:rsidTr="00EA101A">
        <w:trPr>
          <w:trHeight w:val="298"/>
          <w:jc w:val="center"/>
        </w:trPr>
        <w:tc>
          <w:tcPr>
            <w:tcW w:w="1210" w:type="pct"/>
            <w:vMerge w:val="restart"/>
            <w:tcBorders>
              <w:top w:val="nil"/>
              <w:left w:val="nil"/>
              <w:bottom w:val="nil"/>
              <w:right w:val="nil"/>
            </w:tcBorders>
            <w:vAlign w:val="center"/>
          </w:tcPr>
          <w:p w14:paraId="7B54BE44" w14:textId="77777777" w:rsidR="00EA101A" w:rsidRPr="006545AD" w:rsidRDefault="00EA101A" w:rsidP="00EA101A">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diện tích rừng sản xuất được cấp chứng chỉ quản lý rừng bền vững (%)</w:t>
            </w:r>
          </w:p>
        </w:tc>
        <w:tc>
          <w:tcPr>
            <w:tcW w:w="230" w:type="pct"/>
            <w:vMerge w:val="restart"/>
            <w:tcBorders>
              <w:top w:val="nil"/>
              <w:left w:val="nil"/>
              <w:bottom w:val="nil"/>
              <w:right w:val="nil"/>
            </w:tcBorders>
            <w:vAlign w:val="center"/>
          </w:tcPr>
          <w:p w14:paraId="7D142EF6" w14:textId="77777777" w:rsidR="00EA101A" w:rsidRPr="006545AD" w:rsidRDefault="00EA101A" w:rsidP="00EA101A">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926" w:type="pct"/>
            <w:tcBorders>
              <w:top w:val="nil"/>
              <w:left w:val="nil"/>
              <w:bottom w:val="single" w:sz="4" w:space="0" w:color="auto"/>
              <w:right w:val="nil"/>
            </w:tcBorders>
            <w:vAlign w:val="center"/>
          </w:tcPr>
          <w:p w14:paraId="0A5A81BD" w14:textId="77777777" w:rsidR="00EA101A" w:rsidRPr="006545AD" w:rsidRDefault="00EA101A" w:rsidP="00EA101A">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rừng sản xuất được cấp chứng chỉ quản lý rừng bền vững</w:t>
            </w:r>
          </w:p>
        </w:tc>
        <w:tc>
          <w:tcPr>
            <w:tcW w:w="634" w:type="pct"/>
            <w:vMerge w:val="restart"/>
            <w:tcBorders>
              <w:top w:val="nil"/>
              <w:left w:val="nil"/>
              <w:right w:val="nil"/>
            </w:tcBorders>
            <w:vAlign w:val="center"/>
          </w:tcPr>
          <w:p w14:paraId="4D2FF891" w14:textId="0389683F" w:rsidR="00EA101A" w:rsidRPr="006545AD" w:rsidRDefault="00A339A7" w:rsidP="00EA101A">
            <w:pPr>
              <w:spacing w:before="60" w:after="60" w:line="360" w:lineRule="exact"/>
              <w:jc w:val="center"/>
              <w:rPr>
                <w:rFonts w:ascii="Times New Roman" w:eastAsia="Times New Roman" w:hAnsi="Times New Roman" w:cs="Times New Roman"/>
                <w:sz w:val="28"/>
                <w:szCs w:val="28"/>
              </w:rPr>
            </w:pPr>
            <w:r w:rsidRPr="006545AD">
              <w:rPr>
                <w:sz w:val="26"/>
                <w:szCs w:val="26"/>
              </w:rPr>
              <w:t>×</w:t>
            </w:r>
            <w:r w:rsidR="00EA101A" w:rsidRPr="006545AD">
              <w:rPr>
                <w:rFonts w:ascii="Times New Roman" w:eastAsia="Times New Roman" w:hAnsi="Times New Roman" w:cs="Times New Roman"/>
                <w:sz w:val="28"/>
                <w:szCs w:val="28"/>
              </w:rPr>
              <w:t xml:space="preserve"> 100</w:t>
            </w:r>
          </w:p>
        </w:tc>
      </w:tr>
      <w:tr w:rsidR="00EA101A" w:rsidRPr="006545AD" w14:paraId="046A52D8" w14:textId="77777777" w:rsidTr="00EA101A">
        <w:trPr>
          <w:trHeight w:val="22"/>
          <w:jc w:val="center"/>
        </w:trPr>
        <w:tc>
          <w:tcPr>
            <w:tcW w:w="1210" w:type="pct"/>
            <w:vMerge/>
            <w:tcBorders>
              <w:top w:val="nil"/>
              <w:left w:val="nil"/>
              <w:bottom w:val="nil"/>
              <w:right w:val="nil"/>
            </w:tcBorders>
            <w:vAlign w:val="center"/>
          </w:tcPr>
          <w:p w14:paraId="23E60716" w14:textId="77777777" w:rsidR="00EA101A" w:rsidRPr="006545AD" w:rsidRDefault="00EA101A" w:rsidP="00EA101A">
            <w:pPr>
              <w:spacing w:before="60" w:after="60" w:line="360" w:lineRule="exact"/>
              <w:jc w:val="both"/>
              <w:rPr>
                <w:rFonts w:ascii="Times New Roman" w:eastAsia="Times New Roman" w:hAnsi="Times New Roman" w:cs="Times New Roman"/>
                <w:sz w:val="28"/>
                <w:szCs w:val="28"/>
              </w:rPr>
            </w:pPr>
          </w:p>
        </w:tc>
        <w:tc>
          <w:tcPr>
            <w:tcW w:w="230" w:type="pct"/>
            <w:vMerge/>
            <w:tcBorders>
              <w:top w:val="nil"/>
              <w:left w:val="nil"/>
              <w:bottom w:val="nil"/>
              <w:right w:val="nil"/>
            </w:tcBorders>
            <w:vAlign w:val="center"/>
          </w:tcPr>
          <w:p w14:paraId="4AAA9D46" w14:textId="77777777" w:rsidR="00EA101A" w:rsidRPr="006545AD" w:rsidRDefault="00EA101A" w:rsidP="00EA101A">
            <w:pPr>
              <w:spacing w:before="60" w:after="60" w:line="360" w:lineRule="exact"/>
              <w:jc w:val="both"/>
              <w:rPr>
                <w:rFonts w:ascii="Times New Roman" w:eastAsia="Times New Roman" w:hAnsi="Times New Roman" w:cs="Times New Roman"/>
                <w:sz w:val="28"/>
                <w:szCs w:val="28"/>
              </w:rPr>
            </w:pPr>
          </w:p>
        </w:tc>
        <w:tc>
          <w:tcPr>
            <w:tcW w:w="2926" w:type="pct"/>
            <w:tcBorders>
              <w:top w:val="single" w:sz="4" w:space="0" w:color="auto"/>
              <w:left w:val="nil"/>
              <w:bottom w:val="nil"/>
              <w:right w:val="nil"/>
            </w:tcBorders>
            <w:vAlign w:val="center"/>
          </w:tcPr>
          <w:p w14:paraId="0E606ECF" w14:textId="4970EF36" w:rsidR="00EA101A" w:rsidRPr="006545AD" w:rsidRDefault="00EA101A" w:rsidP="00EA101A">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w:t>
            </w:r>
            <w:r w:rsidR="00CA22DD" w:rsidRPr="006545AD">
              <w:rPr>
                <w:rFonts w:ascii="Times New Roman" w:eastAsia="Times New Roman" w:hAnsi="Times New Roman" w:cs="Times New Roman"/>
                <w:sz w:val="28"/>
                <w:szCs w:val="28"/>
              </w:rPr>
              <w:t>d</w:t>
            </w:r>
            <w:r w:rsidRPr="006545AD">
              <w:rPr>
                <w:rFonts w:ascii="Times New Roman" w:eastAsia="Times New Roman" w:hAnsi="Times New Roman" w:cs="Times New Roman"/>
                <w:sz w:val="28"/>
                <w:szCs w:val="28"/>
              </w:rPr>
              <w:t>iện tích rừng sản xuất</w:t>
            </w:r>
          </w:p>
        </w:tc>
        <w:tc>
          <w:tcPr>
            <w:tcW w:w="634" w:type="pct"/>
            <w:vMerge/>
            <w:tcBorders>
              <w:left w:val="nil"/>
              <w:bottom w:val="nil"/>
              <w:right w:val="nil"/>
            </w:tcBorders>
            <w:vAlign w:val="center"/>
          </w:tcPr>
          <w:p w14:paraId="2487AFA7" w14:textId="77777777" w:rsidR="00EA101A" w:rsidRPr="006545AD" w:rsidRDefault="00EA101A" w:rsidP="00EA101A">
            <w:pPr>
              <w:spacing w:before="60" w:after="60" w:line="360" w:lineRule="exact"/>
              <w:jc w:val="center"/>
              <w:rPr>
                <w:rFonts w:ascii="Times New Roman" w:eastAsia="Times New Roman" w:hAnsi="Times New Roman" w:cs="Times New Roman"/>
                <w:sz w:val="28"/>
                <w:szCs w:val="28"/>
              </w:rPr>
            </w:pPr>
          </w:p>
        </w:tc>
      </w:tr>
    </w:tbl>
    <w:p w14:paraId="202027AE" w14:textId="77777777" w:rsidR="00F408D5" w:rsidRPr="006545AD" w:rsidRDefault="006E7C70" w:rsidP="005725BC">
      <w:pPr>
        <w:spacing w:before="24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2. Phân tổ chủ yếu: </w:t>
      </w:r>
      <w:r w:rsidRPr="006545AD">
        <w:rPr>
          <w:rFonts w:ascii="Times New Roman" w:eastAsia="Times New Roman" w:hAnsi="Times New Roman" w:cs="Times New Roman"/>
          <w:sz w:val="28"/>
          <w:szCs w:val="28"/>
        </w:rPr>
        <w:t>Tỉnh, thành phố trực thuộc Trung ương</w:t>
      </w:r>
      <w:r w:rsidR="008725E6" w:rsidRPr="006545AD">
        <w:rPr>
          <w:rFonts w:ascii="Times New Roman" w:eastAsia="Times New Roman" w:hAnsi="Times New Roman" w:cs="Times New Roman"/>
          <w:sz w:val="28"/>
          <w:szCs w:val="28"/>
        </w:rPr>
        <w:t>.</w:t>
      </w:r>
    </w:p>
    <w:p w14:paraId="0C9EF0D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8725E6" w:rsidRPr="006545AD">
        <w:rPr>
          <w:rFonts w:ascii="Times New Roman" w:eastAsia="Times New Roman" w:hAnsi="Times New Roman" w:cs="Times New Roman"/>
          <w:sz w:val="28"/>
          <w:szCs w:val="28"/>
        </w:rPr>
        <w:t>.</w:t>
      </w:r>
    </w:p>
    <w:p w14:paraId="488B200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4. Nguồn số liệu: </w:t>
      </w:r>
    </w:p>
    <w:p w14:paraId="1C58B344" w14:textId="77777777" w:rsidR="00F408D5" w:rsidRPr="006545AD" w:rsidRDefault="00750749"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Điều tra lâm nghiệp;</w:t>
      </w:r>
    </w:p>
    <w:p w14:paraId="11E201C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Bộ, ngành.</w:t>
      </w:r>
    </w:p>
    <w:p w14:paraId="266C2E54"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5. Cơ quan chịu trách nhiệm thu thập, tổng hợp: </w:t>
      </w:r>
    </w:p>
    <w:p w14:paraId="1F3A14F9" w14:textId="77777777" w:rsidR="00F408D5" w:rsidRPr="006545AD" w:rsidRDefault="00750749"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574BDA" w:rsidRPr="006545AD">
        <w:rPr>
          <w:rFonts w:ascii="Times New Roman" w:eastAsia="Times New Roman" w:hAnsi="Times New Roman" w:cs="Times New Roman"/>
          <w:sz w:val="28"/>
          <w:szCs w:val="28"/>
        </w:rPr>
        <w:t>- Chủ trì: Bộ Nông nghiệp và Phát triển nông thôn</w:t>
      </w:r>
      <w:r w:rsidR="008725E6" w:rsidRPr="006545AD">
        <w:rPr>
          <w:rFonts w:ascii="Times New Roman" w:eastAsia="Times New Roman" w:hAnsi="Times New Roman" w:cs="Times New Roman"/>
          <w:sz w:val="28"/>
          <w:szCs w:val="28"/>
        </w:rPr>
        <w:t>;</w:t>
      </w:r>
    </w:p>
    <w:p w14:paraId="07433F98" w14:textId="2C9CF8AC" w:rsidR="008A69D5" w:rsidRPr="006545AD" w:rsidRDefault="00B17E12"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Phối hợp: </w:t>
      </w:r>
      <w:r w:rsidR="00C651A7" w:rsidRPr="006545AD">
        <w:rPr>
          <w:rFonts w:ascii="Times New Roman" w:eastAsia="Times New Roman" w:hAnsi="Times New Roman" w:cs="Times New Roman"/>
          <w:sz w:val="28"/>
          <w:szCs w:val="28"/>
        </w:rPr>
        <w:t>Bộ Kế hoạch và Đầu tư (Tổng cục Thống kê)</w:t>
      </w:r>
      <w:r w:rsidR="008725E6" w:rsidRPr="006545AD">
        <w:rPr>
          <w:rFonts w:ascii="Times New Roman" w:eastAsia="Times New Roman" w:hAnsi="Times New Roman" w:cs="Times New Roman"/>
          <w:sz w:val="28"/>
          <w:szCs w:val="28"/>
        </w:rPr>
        <w:t>.</w:t>
      </w:r>
    </w:p>
    <w:p w14:paraId="050A0112" w14:textId="7A0706A2" w:rsidR="00762617" w:rsidRPr="006545AD" w:rsidRDefault="00781C2A"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B17E12" w:rsidRPr="006545AD">
        <w:rPr>
          <w:rFonts w:ascii="Times New Roman" w:eastAsia="Times New Roman" w:hAnsi="Times New Roman" w:cs="Times New Roman"/>
          <w:b/>
          <w:sz w:val="28"/>
          <w:szCs w:val="28"/>
        </w:rPr>
        <w:t>V</w:t>
      </w:r>
      <w:r w:rsidR="00762617" w:rsidRPr="006545AD">
        <w:rPr>
          <w:rFonts w:ascii="Times New Roman" w:eastAsia="Times New Roman" w:hAnsi="Times New Roman" w:cs="Times New Roman"/>
          <w:b/>
          <w:sz w:val="28"/>
          <w:szCs w:val="28"/>
        </w:rPr>
        <w:t>III. Lĩnh vực tài nguyên khoáng sản</w:t>
      </w:r>
    </w:p>
    <w:p w14:paraId="0DDEE36A" w14:textId="21961161" w:rsidR="00F408D5" w:rsidRPr="006545AD" w:rsidRDefault="00762617"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781C2A" w:rsidRPr="006545AD">
        <w:rPr>
          <w:rFonts w:ascii="Times New Roman" w:eastAsia="Times New Roman" w:hAnsi="Times New Roman" w:cs="Times New Roman"/>
          <w:b/>
          <w:sz w:val="28"/>
          <w:szCs w:val="28"/>
        </w:rPr>
        <w:t>2.3</w:t>
      </w:r>
      <w:r w:rsidR="000917E7" w:rsidRPr="006545AD">
        <w:rPr>
          <w:rFonts w:ascii="Times New Roman" w:eastAsia="Times New Roman" w:hAnsi="Times New Roman" w:cs="Times New Roman"/>
          <w:b/>
          <w:sz w:val="28"/>
          <w:szCs w:val="28"/>
        </w:rPr>
        <w:t>5</w:t>
      </w:r>
      <w:r w:rsidR="00836A4E" w:rsidRPr="006545AD">
        <w:rPr>
          <w:rFonts w:ascii="Times New Roman" w:eastAsia="Times New Roman" w:hAnsi="Times New Roman" w:cs="Times New Roman"/>
          <w:b/>
          <w:sz w:val="28"/>
          <w:szCs w:val="28"/>
        </w:rPr>
        <w:t>. Trữ</w:t>
      </w:r>
      <w:r w:rsidR="006E7C70" w:rsidRPr="006545AD">
        <w:rPr>
          <w:rFonts w:ascii="Times New Roman" w:eastAsia="Times New Roman" w:hAnsi="Times New Roman" w:cs="Times New Roman"/>
          <w:b/>
          <w:sz w:val="28"/>
          <w:szCs w:val="28"/>
        </w:rPr>
        <w:t xml:space="preserve"> lượng khoáng sản đã cấp phép, khai thác và còn lại phân theo các cấp trữ lượng</w:t>
      </w:r>
    </w:p>
    <w:p w14:paraId="3AC71DFE" w14:textId="77777777" w:rsidR="00F408D5" w:rsidRPr="006545AD" w:rsidRDefault="0075074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03D673D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Trữ lượng khoáng sản đã cấp phép là trữ lượng khoáng sản ghi trong giấy phép khai thác đã được cơ quan có thẩm quyền cấp.</w:t>
      </w:r>
    </w:p>
    <w:p w14:paraId="5527AFE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pacing w:val="-4"/>
          <w:sz w:val="28"/>
          <w:szCs w:val="28"/>
        </w:rPr>
        <w:t>Trữ lượng khoáng sản đã khai thác là một phần trữ lượng khoáng sản ghi trong giấy phép khai thác đã được khai thác trong năm và lũy kế đến hết năm báo cáo.</w:t>
      </w:r>
    </w:p>
    <w:p w14:paraId="520042F4" w14:textId="77777777" w:rsidR="006C688A" w:rsidRPr="006545AD" w:rsidRDefault="006C688A" w:rsidP="006C688A">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Phương pháp tính: Sở Tài nguyên và Môi trường các tỉnh, thành phố trực thuộc trung ương cung cấp số liệu cấp phép do Ủy ban nhân dân các tỉnh, thành phố trực thuộc trung ương thực hiện, Tổng cục Địa chất và Khoáng sản Việt Nam tổng hợp số liệu cấp phép do Bộ Tài nguyên và Môi trường thực hiện; xử lý, tính toán, tổng hợp, lập báo cáo chung.</w:t>
      </w:r>
    </w:p>
    <w:p w14:paraId="512E453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77215E3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khoáng sản;</w:t>
      </w:r>
    </w:p>
    <w:p w14:paraId="56282FA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thành phố trực thuộc </w:t>
      </w:r>
      <w:r w:rsidR="0063652A" w:rsidRPr="006545AD">
        <w:rPr>
          <w:rFonts w:ascii="Times New Roman" w:eastAsia="Times New Roman" w:hAnsi="Times New Roman" w:cs="Times New Roman"/>
          <w:sz w:val="28"/>
          <w:szCs w:val="28"/>
          <w:lang w:val="en-US"/>
        </w:rPr>
        <w:t>Trung ương</w:t>
      </w:r>
      <w:r w:rsidRPr="006545AD">
        <w:rPr>
          <w:rFonts w:ascii="Times New Roman" w:eastAsia="Times New Roman" w:hAnsi="Times New Roman" w:cs="Times New Roman"/>
          <w:sz w:val="28"/>
          <w:szCs w:val="28"/>
        </w:rPr>
        <w:t>.</w:t>
      </w:r>
    </w:p>
    <w:p w14:paraId="5EB92B8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00C8B32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4. Nguồn số liệu: </w:t>
      </w:r>
      <w:r w:rsidRPr="006545AD">
        <w:rPr>
          <w:rFonts w:ascii="Times New Roman" w:eastAsia="Times New Roman" w:hAnsi="Times New Roman" w:cs="Times New Roman"/>
          <w:sz w:val="28"/>
          <w:szCs w:val="28"/>
        </w:rPr>
        <w:t>Chế độ báo cáo thống kê ngành tài nguyên và môi trường.</w:t>
      </w:r>
    </w:p>
    <w:p w14:paraId="7EC7D986" w14:textId="6DB050D2" w:rsidR="00762617" w:rsidRPr="006545AD" w:rsidRDefault="00B17E12" w:rsidP="00923EF8">
      <w:pPr>
        <w:spacing w:before="60" w:after="60" w:line="360" w:lineRule="exact"/>
        <w:jc w:val="both"/>
        <w:rPr>
          <w:rFonts w:ascii="Times New Roman" w:eastAsia="Times New Roman" w:hAnsi="Times New Roman" w:cs="Times New Roman"/>
          <w:spacing w:val="-10"/>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pacing w:val="-10"/>
          <w:sz w:val="28"/>
          <w:szCs w:val="28"/>
        </w:rPr>
        <w:t xml:space="preserve">5. Cơ quan chịu trách nhiệm thu thập, tổng hợp: </w:t>
      </w:r>
      <w:r w:rsidR="006E7C70" w:rsidRPr="006545AD">
        <w:rPr>
          <w:rFonts w:ascii="Times New Roman" w:eastAsia="Times New Roman" w:hAnsi="Times New Roman" w:cs="Times New Roman"/>
          <w:spacing w:val="-10"/>
          <w:sz w:val="28"/>
          <w:szCs w:val="28"/>
        </w:rPr>
        <w:t>Bộ Tài nguyên và Môi trường.</w:t>
      </w:r>
    </w:p>
    <w:p w14:paraId="275BDE38" w14:textId="595AF89C" w:rsidR="00762617" w:rsidRPr="006545AD" w:rsidRDefault="005D5E08" w:rsidP="005725BC">
      <w:pPr>
        <w:spacing w:before="24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762617" w:rsidRPr="006545AD">
        <w:rPr>
          <w:rFonts w:ascii="Times New Roman" w:eastAsia="Times New Roman" w:hAnsi="Times New Roman" w:cs="Times New Roman"/>
          <w:b/>
          <w:sz w:val="28"/>
          <w:szCs w:val="28"/>
        </w:rPr>
        <w:t>IX. Lĩnh vực tài nguyên nước</w:t>
      </w:r>
    </w:p>
    <w:p w14:paraId="75164FCA" w14:textId="15257375" w:rsidR="00F408D5" w:rsidRPr="006545AD" w:rsidRDefault="00762617"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2.3</w:t>
      </w:r>
      <w:r w:rsidR="000917E7" w:rsidRPr="006545AD">
        <w:rPr>
          <w:rFonts w:ascii="Times New Roman" w:eastAsia="Times New Roman" w:hAnsi="Times New Roman" w:cs="Times New Roman"/>
          <w:b/>
          <w:sz w:val="28"/>
          <w:szCs w:val="28"/>
        </w:rPr>
        <w:t>6</w:t>
      </w:r>
      <w:r w:rsidR="00C70840" w:rsidRPr="006545AD">
        <w:rPr>
          <w:rFonts w:ascii="Times New Roman" w:eastAsia="Times New Roman" w:hAnsi="Times New Roman" w:cs="Times New Roman"/>
          <w:b/>
          <w:sz w:val="28"/>
          <w:szCs w:val="28"/>
        </w:rPr>
        <w:t>. Tổng</w:t>
      </w:r>
      <w:r w:rsidR="006E7C70" w:rsidRPr="006545AD">
        <w:rPr>
          <w:rFonts w:ascii="Times New Roman" w:eastAsia="Times New Roman" w:hAnsi="Times New Roman" w:cs="Times New Roman"/>
          <w:b/>
          <w:sz w:val="28"/>
          <w:szCs w:val="28"/>
        </w:rPr>
        <w:t xml:space="preserve"> lượng nước mặt các lưu vực sông chính</w:t>
      </w:r>
    </w:p>
    <w:p w14:paraId="73FFFB0E" w14:textId="77777777" w:rsidR="00F408D5" w:rsidRPr="006545AD" w:rsidRDefault="005D5E0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E4F3FE6" w14:textId="77777777" w:rsidR="00F408D5" w:rsidRPr="006545AD" w:rsidRDefault="005D5E0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Nước mặt là lượng nước tồn tại trên mặt đất liền hoặc hải đảo.</w:t>
      </w:r>
    </w:p>
    <w:p w14:paraId="01531F1E" w14:textId="77777777" w:rsidR="005D5E08" w:rsidRPr="006545AD" w:rsidRDefault="005D5E0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Công thức tính: </w:t>
      </w:r>
    </w:p>
    <w:p w14:paraId="6CDD7D17" w14:textId="77777777" w:rsidR="00F408D5" w:rsidRPr="006545AD" w:rsidRDefault="005D5E0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Tổng lượng nước mặt trong năm của lưu vực sông là lượng nước chảy qua mặt cắt cửa sông trong năm tính toán.</w:t>
      </w:r>
    </w:p>
    <w:p w14:paraId="0814C83B" w14:textId="77777777" w:rsidR="005D5E08" w:rsidRPr="006545AD" w:rsidRDefault="005D5E08" w:rsidP="005D5E0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Q = </w:t>
      </w:r>
      <m:oMath>
        <m:nary>
          <m:naryPr>
            <m:chr m:val="∑"/>
            <m:limLoc m:val="subSup"/>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i=T</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 xml:space="preserve"> x 86400</m:t>
        </m:r>
      </m:oMath>
    </w:p>
    <w:p w14:paraId="20523B9A" w14:textId="77777777" w:rsidR="00F408D5" w:rsidRPr="006545AD" w:rsidRDefault="006E7C70" w:rsidP="00923EF8">
      <w:pPr>
        <w:spacing w:before="60" w:after="60" w:line="360" w:lineRule="exact"/>
        <w:ind w:firstLine="566"/>
        <w:jc w:val="both"/>
        <w:rPr>
          <w:rFonts w:ascii="Times New Roman" w:eastAsia="Times New Roman" w:hAnsi="Times New Roman" w:cs="Times New Roman"/>
          <w:sz w:val="28"/>
          <w:szCs w:val="28"/>
        </w:rPr>
      </w:pPr>
      <w:r w:rsidRPr="006545AD">
        <w:rPr>
          <w:rFonts w:ascii="Times New Roman" w:hAnsi="Times New Roman" w:cs="Times New Roman"/>
          <w:color w:val="4472C4"/>
          <w:sz w:val="28"/>
          <w:szCs w:val="28"/>
        </w:rPr>
        <w:t xml:space="preserve"> </w:t>
      </w:r>
      <w:r w:rsidRPr="006545AD">
        <w:rPr>
          <w:rFonts w:ascii="Times New Roman" w:eastAsia="Times New Roman" w:hAnsi="Times New Roman" w:cs="Times New Roman"/>
          <w:sz w:val="28"/>
          <w:szCs w:val="28"/>
        </w:rPr>
        <w:t>Trong đó:</w:t>
      </w:r>
    </w:p>
    <w:p w14:paraId="0DC55751" w14:textId="77777777" w:rsidR="00F408D5" w:rsidRPr="006545AD" w:rsidRDefault="005D5E0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574BDA"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 xml:space="preserve">Q là </w:t>
      </w:r>
      <w:r w:rsidR="006E7C70" w:rsidRPr="006545AD">
        <w:rPr>
          <w:rFonts w:ascii="Times New Roman" w:eastAsia="Times New Roman" w:hAnsi="Times New Roman" w:cs="Times New Roman"/>
          <w:sz w:val="28"/>
          <w:szCs w:val="28"/>
        </w:rPr>
        <w:t>Tổng lượng nước mặ</w:t>
      </w:r>
      <w:r w:rsidR="00CB5D5D" w:rsidRPr="006545AD">
        <w:rPr>
          <w:rFonts w:ascii="Times New Roman" w:eastAsia="Times New Roman" w:hAnsi="Times New Roman" w:cs="Times New Roman"/>
          <w:sz w:val="28"/>
          <w:szCs w:val="28"/>
        </w:rPr>
        <w:t>t trong năm của lưu vực sông (m</w:t>
      </w:r>
      <w:r w:rsidR="00CB5D5D" w:rsidRPr="006545AD">
        <w:rPr>
          <w:rFonts w:ascii="Times New Roman" w:eastAsia="Times New Roman" w:hAnsi="Times New Roman" w:cs="Times New Roman"/>
          <w:sz w:val="28"/>
          <w:szCs w:val="28"/>
          <w:vertAlign w:val="superscript"/>
        </w:rPr>
        <w:t>3</w:t>
      </w:r>
      <w:r w:rsidR="006E7C70" w:rsidRPr="006545AD">
        <w:rPr>
          <w:rFonts w:ascii="Times New Roman" w:eastAsia="Times New Roman" w:hAnsi="Times New Roman" w:cs="Times New Roman"/>
          <w:sz w:val="28"/>
          <w:szCs w:val="28"/>
        </w:rPr>
        <w:t>/năm)</w:t>
      </w:r>
      <w:r w:rsidR="00574BDA" w:rsidRPr="006545AD">
        <w:rPr>
          <w:rFonts w:ascii="Times New Roman" w:eastAsia="Times New Roman" w:hAnsi="Times New Roman" w:cs="Times New Roman"/>
          <w:sz w:val="28"/>
          <w:szCs w:val="28"/>
        </w:rPr>
        <w:t>;</w:t>
      </w:r>
    </w:p>
    <w:p w14:paraId="66B38621" w14:textId="77777777" w:rsidR="00F408D5" w:rsidRPr="006545AD" w:rsidRDefault="005D5E0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574BDA" w:rsidRPr="006545AD">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q</m:t>
            </m:r>
          </m:e>
          <m:sub>
            <m:r>
              <w:rPr>
                <w:rFonts w:ascii="Cambria Math" w:eastAsia="Times New Roman" w:hAnsi="Cambria Math" w:cs="Times New Roman"/>
                <w:sz w:val="28"/>
                <w:szCs w:val="28"/>
              </w:rPr>
              <m:t>i</m:t>
            </m:r>
          </m:sub>
        </m:sSub>
      </m:oMath>
      <w:r w:rsidRPr="006545AD">
        <w:rPr>
          <w:rFonts w:ascii="Times New Roman" w:eastAsia="Times New Roman" w:hAnsi="Times New Roman" w:cs="Times New Roman"/>
          <w:sz w:val="28"/>
          <w:szCs w:val="28"/>
        </w:rPr>
        <w:t xml:space="preserve"> là l</w:t>
      </w:r>
      <w:r w:rsidR="006E7C70" w:rsidRPr="006545AD">
        <w:rPr>
          <w:rFonts w:ascii="Times New Roman" w:eastAsia="Times New Roman" w:hAnsi="Times New Roman" w:cs="Times New Roman"/>
          <w:sz w:val="28"/>
          <w:szCs w:val="28"/>
        </w:rPr>
        <w:t>ưu lượng nước bình quân chảy qua mặt cắt cửa sông trong ngày tính toán thứ i (</w:t>
      </w:r>
      <w:r w:rsidR="00CB5D5D" w:rsidRPr="006545AD">
        <w:rPr>
          <w:rFonts w:ascii="Times New Roman" w:eastAsia="Times New Roman" w:hAnsi="Times New Roman" w:cs="Times New Roman"/>
          <w:sz w:val="28"/>
          <w:szCs w:val="28"/>
        </w:rPr>
        <w:t>m</w:t>
      </w:r>
      <w:r w:rsidR="00CB5D5D" w:rsidRPr="006545AD">
        <w:rPr>
          <w:rFonts w:ascii="Times New Roman" w:eastAsia="Times New Roman" w:hAnsi="Times New Roman" w:cs="Times New Roman"/>
          <w:sz w:val="28"/>
          <w:szCs w:val="28"/>
          <w:vertAlign w:val="superscript"/>
        </w:rPr>
        <w:t>3</w:t>
      </w:r>
      <w:r w:rsidR="006E7C70" w:rsidRPr="006545AD">
        <w:rPr>
          <w:rFonts w:ascii="Times New Roman" w:eastAsia="Times New Roman" w:hAnsi="Times New Roman" w:cs="Times New Roman"/>
          <w:sz w:val="28"/>
          <w:szCs w:val="28"/>
        </w:rPr>
        <w:t>/s)</w:t>
      </w:r>
      <w:r w:rsidR="00574BDA" w:rsidRPr="006545AD">
        <w:rPr>
          <w:rFonts w:ascii="Times New Roman" w:eastAsia="Times New Roman" w:hAnsi="Times New Roman" w:cs="Times New Roman"/>
          <w:sz w:val="28"/>
          <w:szCs w:val="28"/>
        </w:rPr>
        <w:t>;</w:t>
      </w:r>
    </w:p>
    <w:p w14:paraId="102D99AD" w14:textId="77777777" w:rsidR="00F408D5" w:rsidRPr="006545AD" w:rsidRDefault="005D5E0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574BDA"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T là</w:t>
      </w:r>
      <w:r w:rsidR="006E7C70" w:rsidRPr="006545AD">
        <w:rPr>
          <w:rFonts w:ascii="Times New Roman" w:eastAsia="Times New Roman" w:hAnsi="Times New Roman" w:cs="Times New Roman"/>
          <w:sz w:val="28"/>
          <w:szCs w:val="28"/>
        </w:rPr>
        <w:t xml:space="preserve"> số ngày trong năm tính toán</w:t>
      </w:r>
      <w:r w:rsidR="00574BDA" w:rsidRPr="006545AD">
        <w:rPr>
          <w:rFonts w:ascii="Times New Roman" w:eastAsia="Times New Roman" w:hAnsi="Times New Roman" w:cs="Times New Roman"/>
          <w:sz w:val="28"/>
          <w:szCs w:val="28"/>
        </w:rPr>
        <w:t>.</w:t>
      </w:r>
    </w:p>
    <w:p w14:paraId="406D34B9" w14:textId="77777777" w:rsidR="00F408D5" w:rsidRPr="006545AD" w:rsidRDefault="005D5E0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Đối với lưu vực sông có n</w:t>
      </w:r>
      <w:r w:rsidR="00CB5D5D" w:rsidRPr="006545AD">
        <w:rPr>
          <w:rFonts w:ascii="Times New Roman" w:eastAsia="Times New Roman" w:hAnsi="Times New Roman" w:cs="Times New Roman"/>
          <w:sz w:val="28"/>
          <w:szCs w:val="28"/>
        </w:rPr>
        <w:t>hiều cửa sông chảy ra biển thì t</w:t>
      </w:r>
      <w:r w:rsidR="006E7C70" w:rsidRPr="006545AD">
        <w:rPr>
          <w:rFonts w:ascii="Times New Roman" w:eastAsia="Times New Roman" w:hAnsi="Times New Roman" w:cs="Times New Roman"/>
          <w:sz w:val="28"/>
          <w:szCs w:val="28"/>
        </w:rPr>
        <w:t>ổng lượng nước mặt trong năm của lưu vực sông là tổng lượng nước chảy qua từng cửa sông.</w:t>
      </w:r>
    </w:p>
    <w:p w14:paraId="388C83DC" w14:textId="77777777" w:rsidR="00F408D5" w:rsidRPr="006545AD" w:rsidRDefault="005D5E08" w:rsidP="005725BC">
      <w:pPr>
        <w:spacing w:before="60" w:after="6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Đối với các cửa sông không có trạm quan trắc thủy văn ở c</w:t>
      </w:r>
      <w:r w:rsidR="00CB5D5D" w:rsidRPr="006545AD">
        <w:rPr>
          <w:rFonts w:ascii="Times New Roman" w:eastAsia="Times New Roman" w:hAnsi="Times New Roman" w:cs="Times New Roman"/>
          <w:sz w:val="28"/>
          <w:szCs w:val="28"/>
        </w:rPr>
        <w:t>ác cửa sông thì việc tính toán t</w:t>
      </w:r>
      <w:r w:rsidR="006E7C70" w:rsidRPr="006545AD">
        <w:rPr>
          <w:rFonts w:ascii="Times New Roman" w:eastAsia="Times New Roman" w:hAnsi="Times New Roman" w:cs="Times New Roman"/>
          <w:sz w:val="28"/>
          <w:szCs w:val="28"/>
        </w:rPr>
        <w:t>ổng lượng nước mặt trong năm qua cử</w:t>
      </w:r>
      <w:r w:rsidR="00574BDA" w:rsidRPr="006545AD">
        <w:rPr>
          <w:rFonts w:ascii="Times New Roman" w:eastAsia="Times New Roman" w:hAnsi="Times New Roman" w:cs="Times New Roman"/>
          <w:sz w:val="28"/>
          <w:szCs w:val="28"/>
        </w:rPr>
        <w:t>a sông này được thực hiện theo p</w:t>
      </w:r>
      <w:r w:rsidR="006E7C70" w:rsidRPr="006545AD">
        <w:rPr>
          <w:rFonts w:ascii="Times New Roman" w:eastAsia="Times New Roman" w:hAnsi="Times New Roman" w:cs="Times New Roman"/>
          <w:sz w:val="28"/>
          <w:szCs w:val="28"/>
        </w:rPr>
        <w:t>hương pháp tính toán thủy văn (phương pháp lưu vực tương tự, phương pháp tổng hợp địa lý...).</w:t>
      </w:r>
    </w:p>
    <w:p w14:paraId="01AB62EC" w14:textId="77777777" w:rsidR="005D5E08" w:rsidRPr="006545AD" w:rsidRDefault="005D5E08"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b/>
          <w:sz w:val="28"/>
          <w:szCs w:val="28"/>
        </w:rPr>
        <w:t>2. Phân tổ chủ yếu</w:t>
      </w:r>
      <w:r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sz w:val="28"/>
          <w:szCs w:val="28"/>
        </w:rPr>
        <w:t>Lưu vực sông.</w:t>
      </w:r>
    </w:p>
    <w:p w14:paraId="26FE9C9A" w14:textId="77777777" w:rsidR="00F408D5" w:rsidRPr="006545AD" w:rsidRDefault="005D5E08"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sz w:val="28"/>
          <w:szCs w:val="28"/>
        </w:rPr>
        <w:t>Năm</w:t>
      </w:r>
      <w:r w:rsidR="00836A4E" w:rsidRPr="006545AD">
        <w:rPr>
          <w:rFonts w:ascii="Times New Roman" w:eastAsia="Times New Roman" w:hAnsi="Times New Roman" w:cs="Times New Roman"/>
          <w:sz w:val="28"/>
          <w:szCs w:val="28"/>
        </w:rPr>
        <w:t>.</w:t>
      </w:r>
    </w:p>
    <w:p w14:paraId="10CA8183" w14:textId="77777777" w:rsidR="00836A4E"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4. Nguồn số liệu:</w:t>
      </w:r>
      <w:r w:rsidR="00836A4E"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 xml:space="preserve">Chế độ báo cáo thống kê ngành tài nguyên và môi trường. </w:t>
      </w:r>
    </w:p>
    <w:p w14:paraId="43D74699" w14:textId="7B2A4950" w:rsidR="00F408D5" w:rsidRPr="009E1776" w:rsidRDefault="006E7C70" w:rsidP="005725BC">
      <w:pPr>
        <w:spacing w:before="60" w:after="60" w:line="350" w:lineRule="exact"/>
        <w:ind w:firstLine="720"/>
        <w:jc w:val="both"/>
        <w:rPr>
          <w:rFonts w:ascii="Times New Roman" w:eastAsia="Times New Roman" w:hAnsi="Times New Roman" w:cs="Times New Roman"/>
          <w:b/>
          <w:spacing w:val="-10"/>
          <w:sz w:val="28"/>
          <w:szCs w:val="28"/>
        </w:rPr>
      </w:pPr>
      <w:r w:rsidRPr="009E1776">
        <w:rPr>
          <w:rFonts w:ascii="Times New Roman" w:eastAsia="Times New Roman" w:hAnsi="Times New Roman" w:cs="Times New Roman"/>
          <w:b/>
          <w:spacing w:val="-10"/>
          <w:sz w:val="28"/>
          <w:szCs w:val="28"/>
        </w:rPr>
        <w:t>5. Cơ quan chịu trách nhiệm thu thập, tổng hợp:</w:t>
      </w:r>
      <w:r w:rsidR="00574BDA" w:rsidRPr="009E1776">
        <w:rPr>
          <w:rFonts w:ascii="Times New Roman" w:eastAsia="Times New Roman" w:hAnsi="Times New Roman" w:cs="Times New Roman"/>
          <w:b/>
          <w:spacing w:val="-10"/>
          <w:sz w:val="28"/>
          <w:szCs w:val="28"/>
        </w:rPr>
        <w:t xml:space="preserve"> </w:t>
      </w:r>
      <w:r w:rsidRPr="009E1776">
        <w:rPr>
          <w:rFonts w:ascii="Times New Roman" w:eastAsia="Times New Roman" w:hAnsi="Times New Roman" w:cs="Times New Roman"/>
          <w:spacing w:val="-10"/>
          <w:sz w:val="28"/>
          <w:szCs w:val="28"/>
        </w:rPr>
        <w:t xml:space="preserve">Bộ </w:t>
      </w:r>
      <w:r w:rsidR="00574BDA" w:rsidRPr="009E1776">
        <w:rPr>
          <w:rFonts w:ascii="Times New Roman" w:eastAsia="Times New Roman" w:hAnsi="Times New Roman" w:cs="Times New Roman"/>
          <w:spacing w:val="-10"/>
          <w:sz w:val="28"/>
          <w:szCs w:val="28"/>
        </w:rPr>
        <w:t>Tài nguyên</w:t>
      </w:r>
      <w:r w:rsidR="000B3ABE" w:rsidRPr="009E1776">
        <w:rPr>
          <w:rFonts w:ascii="Times New Roman" w:eastAsia="Times New Roman" w:hAnsi="Times New Roman" w:cs="Times New Roman"/>
          <w:spacing w:val="-10"/>
          <w:sz w:val="28"/>
          <w:szCs w:val="28"/>
        </w:rPr>
        <w:t xml:space="preserve"> và</w:t>
      </w:r>
      <w:r w:rsidR="00574BDA" w:rsidRPr="009E1776">
        <w:rPr>
          <w:rFonts w:ascii="Times New Roman" w:eastAsia="Times New Roman" w:hAnsi="Times New Roman" w:cs="Times New Roman"/>
          <w:spacing w:val="-10"/>
          <w:sz w:val="28"/>
          <w:szCs w:val="28"/>
        </w:rPr>
        <w:t xml:space="preserve"> Môi trường.</w:t>
      </w:r>
    </w:p>
    <w:p w14:paraId="34BC246A" w14:textId="58CB1257" w:rsidR="00F408D5" w:rsidRPr="006545AD" w:rsidRDefault="005D5E08"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2.3</w:t>
      </w:r>
      <w:r w:rsidR="000917E7" w:rsidRPr="006545AD">
        <w:rPr>
          <w:rFonts w:ascii="Times New Roman" w:eastAsia="Times New Roman" w:hAnsi="Times New Roman" w:cs="Times New Roman"/>
          <w:b/>
          <w:sz w:val="28"/>
          <w:szCs w:val="28"/>
        </w:rPr>
        <w:t>7</w:t>
      </w:r>
      <w:r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b/>
          <w:sz w:val="28"/>
          <w:szCs w:val="28"/>
        </w:rPr>
        <w:t>Mức thay đổi mực nước dưới đất</w:t>
      </w:r>
    </w:p>
    <w:p w14:paraId="30CDBF44" w14:textId="77777777" w:rsidR="00F408D5" w:rsidRPr="006545AD" w:rsidRDefault="005D5E08"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602F557D" w14:textId="4FB15882" w:rsidR="00F408D5" w:rsidRPr="006545AD" w:rsidRDefault="00DC142B" w:rsidP="005725BC">
      <w:pPr>
        <w:spacing w:before="60" w:after="6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Mức thay đổi mực nước dưới đất được tính bằng sự chênh lệch giữa độ sâu mực nước trung bình trong năm báo cáo với độ sâu mực nước trung bình trong kỳ báo cáo trước.</w:t>
      </w:r>
    </w:p>
    <w:p w14:paraId="12EF88AF" w14:textId="77777777" w:rsidR="00F408D5"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0A5B671C"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Vùng quan trắc;</w:t>
      </w:r>
    </w:p>
    <w:p w14:paraId="6F8F6639"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Tầng chứa nước;</w:t>
      </w:r>
    </w:p>
    <w:p w14:paraId="6B519CBA"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Mùa mưa, mùa khô, cả năm;</w:t>
      </w:r>
    </w:p>
    <w:p w14:paraId="34F68DDF"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w:t>
      </w:r>
      <w:r w:rsidR="00574BDA" w:rsidRPr="006545AD">
        <w:rPr>
          <w:rFonts w:ascii="Times New Roman" w:eastAsia="Times New Roman" w:hAnsi="Times New Roman" w:cs="Times New Roman"/>
          <w:sz w:val="28"/>
          <w:szCs w:val="28"/>
        </w:rPr>
        <w:t xml:space="preserve"> Trung ương</w:t>
      </w:r>
      <w:r w:rsidRPr="006545AD">
        <w:rPr>
          <w:rFonts w:ascii="Times New Roman" w:eastAsia="Times New Roman" w:hAnsi="Times New Roman" w:cs="Times New Roman"/>
          <w:sz w:val="28"/>
          <w:szCs w:val="28"/>
        </w:rPr>
        <w:t>.</w:t>
      </w:r>
    </w:p>
    <w:p w14:paraId="71AD790D"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00C70840" w:rsidRPr="006545AD">
        <w:rPr>
          <w:rFonts w:ascii="Times New Roman" w:eastAsia="Times New Roman" w:hAnsi="Times New Roman" w:cs="Times New Roman"/>
          <w:b/>
          <w:sz w:val="28"/>
          <w:szCs w:val="28"/>
        </w:rPr>
        <w:t xml:space="preserve"> </w:t>
      </w:r>
      <w:r w:rsidR="00C70840" w:rsidRPr="006545AD">
        <w:rPr>
          <w:rFonts w:ascii="Times New Roman" w:eastAsia="Times New Roman" w:hAnsi="Times New Roman" w:cs="Times New Roman"/>
          <w:sz w:val="28"/>
          <w:szCs w:val="28"/>
        </w:rPr>
        <w:t>Năm</w:t>
      </w:r>
      <w:r w:rsidR="00574BDA" w:rsidRPr="006545AD">
        <w:rPr>
          <w:rFonts w:ascii="Times New Roman" w:eastAsia="Times New Roman" w:hAnsi="Times New Roman" w:cs="Times New Roman"/>
          <w:sz w:val="28"/>
          <w:szCs w:val="28"/>
        </w:rPr>
        <w:t>.</w:t>
      </w:r>
    </w:p>
    <w:p w14:paraId="2709EE25" w14:textId="77777777" w:rsidR="00C70840"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r w:rsidR="00574BDA"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 xml:space="preserve">Chế độ báo cáo thống kê ngành tài nguyên và môi trường. </w:t>
      </w:r>
    </w:p>
    <w:p w14:paraId="4301D62F" w14:textId="204B851D" w:rsidR="00F408D5" w:rsidRPr="006545AD" w:rsidRDefault="006E7C70" w:rsidP="005725BC">
      <w:pPr>
        <w:spacing w:before="60" w:after="60" w:line="350" w:lineRule="exact"/>
        <w:ind w:firstLine="720"/>
        <w:jc w:val="both"/>
        <w:rPr>
          <w:rFonts w:ascii="Times New Roman" w:eastAsia="Times New Roman" w:hAnsi="Times New Roman" w:cs="Times New Roman"/>
          <w:b/>
          <w:spacing w:val="-6"/>
          <w:sz w:val="28"/>
          <w:szCs w:val="28"/>
        </w:rPr>
      </w:pPr>
      <w:r w:rsidRPr="006545AD">
        <w:rPr>
          <w:rFonts w:ascii="Times New Roman" w:eastAsia="Times New Roman" w:hAnsi="Times New Roman" w:cs="Times New Roman"/>
          <w:b/>
          <w:spacing w:val="-6"/>
          <w:sz w:val="28"/>
          <w:szCs w:val="28"/>
        </w:rPr>
        <w:t>5. Cơ quan chịu trách nhiệm thu thập, tổng hợp:</w:t>
      </w:r>
      <w:r w:rsidR="00574BDA" w:rsidRPr="006545AD">
        <w:rPr>
          <w:rFonts w:ascii="Times New Roman" w:eastAsia="Times New Roman" w:hAnsi="Times New Roman" w:cs="Times New Roman"/>
          <w:b/>
          <w:spacing w:val="-6"/>
          <w:sz w:val="28"/>
          <w:szCs w:val="28"/>
        </w:rPr>
        <w:t xml:space="preserve"> </w:t>
      </w:r>
      <w:r w:rsidRPr="006545AD">
        <w:rPr>
          <w:rFonts w:ascii="Times New Roman" w:eastAsia="Times New Roman" w:hAnsi="Times New Roman" w:cs="Times New Roman"/>
          <w:spacing w:val="-6"/>
          <w:sz w:val="28"/>
          <w:szCs w:val="28"/>
        </w:rPr>
        <w:t xml:space="preserve">Bộ </w:t>
      </w:r>
      <w:r w:rsidR="00574BDA" w:rsidRPr="006545AD">
        <w:rPr>
          <w:rFonts w:ascii="Times New Roman" w:eastAsia="Times New Roman" w:hAnsi="Times New Roman" w:cs="Times New Roman"/>
          <w:spacing w:val="-6"/>
          <w:sz w:val="28"/>
          <w:szCs w:val="28"/>
        </w:rPr>
        <w:t>Tài nguyên</w:t>
      </w:r>
      <w:r w:rsidR="000B3ABE" w:rsidRPr="006545AD">
        <w:rPr>
          <w:rFonts w:ascii="Times New Roman" w:eastAsia="Times New Roman" w:hAnsi="Times New Roman" w:cs="Times New Roman"/>
          <w:spacing w:val="-6"/>
          <w:sz w:val="28"/>
          <w:szCs w:val="28"/>
        </w:rPr>
        <w:t xml:space="preserve"> và</w:t>
      </w:r>
      <w:r w:rsidR="00574BDA" w:rsidRPr="006545AD">
        <w:rPr>
          <w:rFonts w:ascii="Times New Roman" w:eastAsia="Times New Roman" w:hAnsi="Times New Roman" w:cs="Times New Roman"/>
          <w:spacing w:val="-6"/>
          <w:sz w:val="28"/>
          <w:szCs w:val="28"/>
        </w:rPr>
        <w:t xml:space="preserve"> Môi trường.</w:t>
      </w:r>
    </w:p>
    <w:p w14:paraId="3882B39F" w14:textId="018B6E59" w:rsidR="00F408D5" w:rsidRPr="006545AD" w:rsidRDefault="005D5E08"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2.3</w:t>
      </w:r>
      <w:r w:rsidR="000917E7" w:rsidRPr="006545AD">
        <w:rPr>
          <w:rFonts w:ascii="Times New Roman" w:eastAsia="Times New Roman" w:hAnsi="Times New Roman" w:cs="Times New Roman"/>
          <w:b/>
          <w:sz w:val="28"/>
          <w:szCs w:val="28"/>
        </w:rPr>
        <w:t>8</w:t>
      </w:r>
      <w:r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b/>
          <w:sz w:val="28"/>
          <w:szCs w:val="28"/>
        </w:rPr>
        <w:t>Mức thay đổi tổng lượng nước mặt các lưu vực sông chính</w:t>
      </w:r>
    </w:p>
    <w:p w14:paraId="0931BFD8" w14:textId="77777777" w:rsidR="00F408D5" w:rsidRPr="006545AD" w:rsidRDefault="005D5E08"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54997638" w14:textId="77777777" w:rsidR="00F408D5" w:rsidRPr="006545AD" w:rsidRDefault="005D5E08" w:rsidP="005725BC">
      <w:pPr>
        <w:spacing w:before="60" w:after="60" w:line="35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pacing w:val="-4"/>
          <w:sz w:val="28"/>
          <w:szCs w:val="28"/>
        </w:rPr>
        <w:t>Mức thay đổi tổng lượng nước mặt của lưu vực sông là giá trị chênh lệch tổng lượng nước mặt của lưu vực sông đó trong năm báo cáo so với kỳ báo cáo trước.</w:t>
      </w:r>
    </w:p>
    <w:p w14:paraId="1E591764" w14:textId="77777777" w:rsidR="00F408D5"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r w:rsidR="00C70840"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Lưu vực sông.</w:t>
      </w:r>
    </w:p>
    <w:p w14:paraId="5AE31106" w14:textId="77777777" w:rsidR="00F408D5"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3. Kỳ công bố:</w:t>
      </w:r>
      <w:r w:rsidR="00C70840"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Năm</w:t>
      </w:r>
      <w:r w:rsidR="00574BDA" w:rsidRPr="006545AD">
        <w:rPr>
          <w:rFonts w:ascii="Times New Roman" w:eastAsia="Times New Roman" w:hAnsi="Times New Roman" w:cs="Times New Roman"/>
          <w:sz w:val="28"/>
          <w:szCs w:val="28"/>
        </w:rPr>
        <w:t>.</w:t>
      </w:r>
    </w:p>
    <w:p w14:paraId="5410E7C6" w14:textId="77777777" w:rsidR="00C70840"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r w:rsidR="00574BDA"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 xml:space="preserve">Chế độ báo cáo thống kê ngành tài nguyên và môi trường. </w:t>
      </w:r>
    </w:p>
    <w:p w14:paraId="0B1543E0" w14:textId="09759C13" w:rsidR="00781C2A" w:rsidRPr="006545AD" w:rsidRDefault="006E7C70" w:rsidP="005725BC">
      <w:pPr>
        <w:spacing w:before="60" w:after="60" w:line="350" w:lineRule="exact"/>
        <w:ind w:firstLine="720"/>
        <w:jc w:val="both"/>
        <w:rPr>
          <w:rFonts w:ascii="Times New Roman" w:eastAsia="Times New Roman" w:hAnsi="Times New Roman" w:cs="Times New Roman"/>
          <w:b/>
          <w:color w:val="FF0000"/>
          <w:sz w:val="28"/>
          <w:szCs w:val="28"/>
        </w:rPr>
      </w:pPr>
      <w:r w:rsidRPr="009E1776">
        <w:rPr>
          <w:rFonts w:ascii="Times New Roman" w:eastAsia="Times New Roman" w:hAnsi="Times New Roman" w:cs="Times New Roman"/>
          <w:b/>
          <w:spacing w:val="-10"/>
          <w:sz w:val="28"/>
          <w:szCs w:val="28"/>
        </w:rPr>
        <w:t>5. Cơ quan chịu trách nhiệm thu thập, tổng hợp:</w:t>
      </w:r>
      <w:r w:rsidR="00C70840" w:rsidRPr="009E1776">
        <w:rPr>
          <w:rFonts w:ascii="Times New Roman" w:eastAsia="Times New Roman" w:hAnsi="Times New Roman" w:cs="Times New Roman"/>
          <w:b/>
          <w:spacing w:val="-10"/>
          <w:sz w:val="28"/>
          <w:szCs w:val="28"/>
        </w:rPr>
        <w:t xml:space="preserve"> </w:t>
      </w:r>
      <w:r w:rsidRPr="009E1776">
        <w:rPr>
          <w:rFonts w:ascii="Times New Roman" w:eastAsia="Times New Roman" w:hAnsi="Times New Roman" w:cs="Times New Roman"/>
          <w:spacing w:val="-10"/>
          <w:sz w:val="28"/>
          <w:szCs w:val="28"/>
        </w:rPr>
        <w:t xml:space="preserve">Bộ </w:t>
      </w:r>
      <w:r w:rsidR="00574BDA" w:rsidRPr="009E1776">
        <w:rPr>
          <w:rFonts w:ascii="Times New Roman" w:eastAsia="Times New Roman" w:hAnsi="Times New Roman" w:cs="Times New Roman"/>
          <w:spacing w:val="-10"/>
          <w:sz w:val="28"/>
          <w:szCs w:val="28"/>
        </w:rPr>
        <w:t>Tài nguyên</w:t>
      </w:r>
      <w:r w:rsidR="000B3ABE" w:rsidRPr="009E1776">
        <w:rPr>
          <w:rFonts w:ascii="Times New Roman" w:eastAsia="Times New Roman" w:hAnsi="Times New Roman" w:cs="Times New Roman"/>
          <w:spacing w:val="-10"/>
          <w:sz w:val="28"/>
          <w:szCs w:val="28"/>
        </w:rPr>
        <w:t xml:space="preserve"> và</w:t>
      </w:r>
      <w:r w:rsidR="00702499" w:rsidRPr="009E1776">
        <w:rPr>
          <w:rFonts w:ascii="Times New Roman" w:eastAsia="Times New Roman" w:hAnsi="Times New Roman" w:cs="Times New Roman"/>
          <w:spacing w:val="-10"/>
          <w:sz w:val="28"/>
          <w:szCs w:val="28"/>
        </w:rPr>
        <w:t xml:space="preserve"> </w:t>
      </w:r>
      <w:r w:rsidR="00574BDA" w:rsidRPr="009E1776">
        <w:rPr>
          <w:rFonts w:ascii="Times New Roman" w:eastAsia="Times New Roman" w:hAnsi="Times New Roman" w:cs="Times New Roman"/>
          <w:spacing w:val="-10"/>
          <w:sz w:val="28"/>
          <w:szCs w:val="28"/>
        </w:rPr>
        <w:t>Môi trường.</w:t>
      </w:r>
    </w:p>
    <w:p w14:paraId="4DFB728B" w14:textId="0C95B88C" w:rsidR="00F408D5"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Mục tiêu 3: Xanh hóa lối sống và thúc đẩy tiêu dùng bền vững</w:t>
      </w:r>
    </w:p>
    <w:p w14:paraId="1F089250" w14:textId="7FF13CB8" w:rsidR="008851BE" w:rsidRPr="006545AD" w:rsidRDefault="008851BE"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I. Môi trường, xã hội </w:t>
      </w:r>
    </w:p>
    <w:p w14:paraId="42661689" w14:textId="77777777" w:rsidR="00F408D5" w:rsidRPr="006545AD" w:rsidRDefault="00F119DC"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3.1</w:t>
      </w:r>
      <w:r w:rsidR="006E7C70" w:rsidRPr="006545AD">
        <w:rPr>
          <w:rFonts w:ascii="Times New Roman" w:eastAsia="Times New Roman" w:hAnsi="Times New Roman" w:cs="Times New Roman"/>
          <w:b/>
          <w:sz w:val="28"/>
          <w:szCs w:val="28"/>
        </w:rPr>
        <w:t>. Tỷ lệ chất thải rắn sinh hoạt được thu gom, xử lý</w:t>
      </w:r>
    </w:p>
    <w:p w14:paraId="617B7004" w14:textId="77777777" w:rsidR="00F408D5" w:rsidRPr="006545AD" w:rsidRDefault="00F119DC"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1276E461" w14:textId="76241D39" w:rsidR="00DC142B" w:rsidRPr="006545AD" w:rsidRDefault="00DC142B"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chất thải rắn sinh hoạt được thu gom, xử lý là tỷ lệ phần trăm giữa khối lượng chất thải rắn sinh hoạt được thu gom, xử lý trên so với khối lượng chất thải rắn sinh hoạt phát sinh.</w:t>
      </w:r>
    </w:p>
    <w:p w14:paraId="5785390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Chất thải rắn sinh hoạt (còn gọi là rác sinh hoạt) là chất thải</w:t>
      </w:r>
      <w:r w:rsidR="005566FB" w:rsidRPr="006545AD">
        <w:rPr>
          <w:rFonts w:ascii="Times New Roman" w:eastAsia="Times New Roman" w:hAnsi="Times New Roman" w:cs="Times New Roman"/>
          <w:sz w:val="28"/>
          <w:szCs w:val="28"/>
        </w:rPr>
        <w:t xml:space="preserve"> rắn</w:t>
      </w:r>
      <w:r w:rsidRPr="006545AD">
        <w:rPr>
          <w:rFonts w:ascii="Times New Roman" w:eastAsia="Times New Roman" w:hAnsi="Times New Roman" w:cs="Times New Roman"/>
          <w:sz w:val="28"/>
          <w:szCs w:val="28"/>
        </w:rPr>
        <w:t xml:space="preserve"> phát sinh trong sinh hoạt thường ngày của con người.</w:t>
      </w:r>
    </w:p>
    <w:p w14:paraId="3172897C" w14:textId="47E201FF" w:rsidR="00553491"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Khối lượng chất thải rắn sinh hoạt được thu gom, xử lý là khối lượng chất thải rắn sinh hoạt được thu gom, vận chuyển bởi các công ty dịch vụ công ích, </w:t>
      </w:r>
      <w:r w:rsidRPr="006545AD">
        <w:rPr>
          <w:rFonts w:ascii="Times New Roman" w:eastAsia="Times New Roman" w:hAnsi="Times New Roman" w:cs="Times New Roman"/>
          <w:sz w:val="28"/>
          <w:szCs w:val="28"/>
        </w:rPr>
        <w:lastRenderedPageBreak/>
        <w:t>doanh nghiệp tư nhân, tổ, đội thu gom chất thải rắn sinh hoạt,... và đưa đến các cơ sở xử lý chất thải rắn hoặc bãi chôn lấp.</w:t>
      </w:r>
    </w:p>
    <w:p w14:paraId="669D5EDD" w14:textId="77777777" w:rsidR="000371FB"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15"/>
        <w:tblW w:w="5000" w:type="pct"/>
        <w:tblBorders>
          <w:top w:val="nil"/>
          <w:left w:val="nil"/>
          <w:bottom w:val="nil"/>
          <w:right w:val="nil"/>
          <w:insideH w:val="nil"/>
          <w:insideV w:val="nil"/>
        </w:tblBorders>
        <w:tblLook w:val="0600" w:firstRow="0" w:lastRow="0" w:firstColumn="0" w:lastColumn="0" w:noHBand="1" w:noVBand="1"/>
      </w:tblPr>
      <w:tblGrid>
        <w:gridCol w:w="2694"/>
        <w:gridCol w:w="708"/>
        <w:gridCol w:w="4536"/>
        <w:gridCol w:w="1134"/>
      </w:tblGrid>
      <w:tr w:rsidR="00F408D5" w:rsidRPr="006545AD" w14:paraId="459179E8" w14:textId="77777777" w:rsidTr="005725BC">
        <w:trPr>
          <w:trHeight w:val="406"/>
        </w:trPr>
        <w:tc>
          <w:tcPr>
            <w:tcW w:w="1485" w:type="pct"/>
            <w:vMerge w:val="restart"/>
            <w:tcBorders>
              <w:top w:val="nil"/>
              <w:left w:val="nil"/>
              <w:bottom w:val="nil"/>
              <w:right w:val="nil"/>
            </w:tcBorders>
            <w:tcMar>
              <w:top w:w="100" w:type="dxa"/>
              <w:left w:w="100" w:type="dxa"/>
              <w:bottom w:w="100" w:type="dxa"/>
              <w:right w:w="100" w:type="dxa"/>
            </w:tcMar>
            <w:vAlign w:val="center"/>
          </w:tcPr>
          <w:p w14:paraId="3E4D44F0"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chất thải rắn sinh hoạt được thu gom, xử lý (%)</w:t>
            </w:r>
          </w:p>
        </w:tc>
        <w:tc>
          <w:tcPr>
            <w:tcW w:w="390" w:type="pct"/>
            <w:vMerge w:val="restart"/>
            <w:tcBorders>
              <w:top w:val="nil"/>
              <w:left w:val="nil"/>
              <w:bottom w:val="nil"/>
              <w:right w:val="nil"/>
            </w:tcBorders>
            <w:tcMar>
              <w:top w:w="100" w:type="dxa"/>
              <w:left w:w="100" w:type="dxa"/>
              <w:bottom w:w="100" w:type="dxa"/>
              <w:right w:w="100" w:type="dxa"/>
            </w:tcMar>
            <w:vAlign w:val="center"/>
          </w:tcPr>
          <w:p w14:paraId="355A804F"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500" w:type="pct"/>
            <w:tcBorders>
              <w:top w:val="nil"/>
              <w:left w:val="nil"/>
              <w:bottom w:val="single" w:sz="8" w:space="0" w:color="000000"/>
              <w:right w:val="nil"/>
            </w:tcBorders>
            <w:tcMar>
              <w:top w:w="100" w:type="dxa"/>
              <w:left w:w="100" w:type="dxa"/>
              <w:bottom w:w="100" w:type="dxa"/>
              <w:right w:w="100" w:type="dxa"/>
            </w:tcMar>
            <w:vAlign w:val="center"/>
          </w:tcPr>
          <w:p w14:paraId="6BF9175C"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Khối lượng chất thải rắn sinh hoạt</w:t>
            </w:r>
          </w:p>
          <w:p w14:paraId="4E021B42"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được thu gom, xử lý (tấn)</w:t>
            </w:r>
          </w:p>
        </w:tc>
        <w:tc>
          <w:tcPr>
            <w:tcW w:w="625" w:type="pct"/>
            <w:vMerge w:val="restart"/>
            <w:tcBorders>
              <w:top w:val="nil"/>
              <w:left w:val="nil"/>
              <w:bottom w:val="nil"/>
              <w:right w:val="nil"/>
            </w:tcBorders>
            <w:tcMar>
              <w:top w:w="100" w:type="dxa"/>
              <w:left w:w="100" w:type="dxa"/>
              <w:bottom w:w="100" w:type="dxa"/>
              <w:right w:w="100" w:type="dxa"/>
            </w:tcMar>
            <w:vAlign w:val="center"/>
          </w:tcPr>
          <w:p w14:paraId="41DC901D" w14:textId="66D582BD" w:rsidR="00F408D5" w:rsidRPr="006545AD" w:rsidRDefault="002B3F61" w:rsidP="00923EF8">
            <w:pPr>
              <w:spacing w:before="60" w:after="60" w:line="360" w:lineRule="exact"/>
              <w:jc w:val="center"/>
              <w:rPr>
                <w:rFonts w:ascii="Times New Roman" w:eastAsia="Times New Roman" w:hAnsi="Times New Roman" w:cs="Times New Roman"/>
                <w:b/>
                <w:sz w:val="28"/>
                <w:szCs w:val="28"/>
              </w:rPr>
            </w:pPr>
            <w:r w:rsidRPr="006545AD">
              <w:rPr>
                <w:sz w:val="26"/>
                <w:szCs w:val="26"/>
              </w:rPr>
              <w:t>×</w:t>
            </w:r>
            <w:r w:rsidR="006E7C70" w:rsidRPr="006545AD">
              <w:rPr>
                <w:rFonts w:ascii="Times New Roman" w:eastAsia="Times New Roman" w:hAnsi="Times New Roman" w:cs="Times New Roman"/>
                <w:sz w:val="28"/>
                <w:szCs w:val="28"/>
              </w:rPr>
              <w:t xml:space="preserve"> 100</w:t>
            </w:r>
          </w:p>
        </w:tc>
      </w:tr>
      <w:tr w:rsidR="00F408D5" w:rsidRPr="006545AD" w14:paraId="18ADF22B" w14:textId="77777777" w:rsidTr="005725BC">
        <w:trPr>
          <w:trHeight w:val="946"/>
        </w:trPr>
        <w:tc>
          <w:tcPr>
            <w:tcW w:w="1485" w:type="pct"/>
            <w:vMerge/>
            <w:tcBorders>
              <w:bottom w:val="nil"/>
              <w:right w:val="nil"/>
            </w:tcBorders>
            <w:shd w:val="clear" w:color="auto" w:fill="auto"/>
            <w:tcMar>
              <w:top w:w="100" w:type="dxa"/>
              <w:left w:w="100" w:type="dxa"/>
              <w:bottom w:w="100" w:type="dxa"/>
              <w:right w:w="100" w:type="dxa"/>
            </w:tcMar>
            <w:vAlign w:val="center"/>
          </w:tcPr>
          <w:p w14:paraId="78FE9D28" w14:textId="77777777" w:rsidR="00F408D5" w:rsidRPr="006545AD" w:rsidRDefault="00F408D5" w:rsidP="00923EF8">
            <w:pPr>
              <w:spacing w:before="60" w:after="60" w:line="360" w:lineRule="exact"/>
              <w:jc w:val="both"/>
              <w:rPr>
                <w:rFonts w:ascii="Times New Roman" w:eastAsia="Times New Roman" w:hAnsi="Times New Roman" w:cs="Times New Roman"/>
                <w:b/>
                <w:sz w:val="28"/>
                <w:szCs w:val="28"/>
              </w:rPr>
            </w:pPr>
          </w:p>
        </w:tc>
        <w:tc>
          <w:tcPr>
            <w:tcW w:w="390" w:type="pct"/>
            <w:vMerge/>
            <w:tcBorders>
              <w:bottom w:val="nil"/>
              <w:right w:val="nil"/>
            </w:tcBorders>
            <w:shd w:val="clear" w:color="auto" w:fill="auto"/>
            <w:tcMar>
              <w:top w:w="100" w:type="dxa"/>
              <w:left w:w="100" w:type="dxa"/>
              <w:bottom w:w="100" w:type="dxa"/>
              <w:right w:w="100" w:type="dxa"/>
            </w:tcMar>
            <w:vAlign w:val="center"/>
          </w:tcPr>
          <w:p w14:paraId="5AE00C9A" w14:textId="77777777" w:rsidR="00F408D5" w:rsidRPr="006545AD" w:rsidRDefault="00F408D5" w:rsidP="00923EF8">
            <w:pPr>
              <w:spacing w:before="60" w:after="60" w:line="360" w:lineRule="exact"/>
              <w:jc w:val="both"/>
              <w:rPr>
                <w:rFonts w:ascii="Times New Roman" w:eastAsia="Times New Roman" w:hAnsi="Times New Roman" w:cs="Times New Roman"/>
                <w:b/>
                <w:sz w:val="28"/>
                <w:szCs w:val="28"/>
              </w:rPr>
            </w:pPr>
          </w:p>
        </w:tc>
        <w:tc>
          <w:tcPr>
            <w:tcW w:w="2500" w:type="pct"/>
            <w:tcBorders>
              <w:top w:val="nil"/>
              <w:left w:val="nil"/>
              <w:bottom w:val="nil"/>
              <w:right w:val="nil"/>
            </w:tcBorders>
            <w:shd w:val="clear" w:color="auto" w:fill="auto"/>
            <w:tcMar>
              <w:top w:w="100" w:type="dxa"/>
              <w:left w:w="100" w:type="dxa"/>
              <w:bottom w:w="100" w:type="dxa"/>
              <w:right w:w="100" w:type="dxa"/>
            </w:tcMar>
            <w:vAlign w:val="center"/>
          </w:tcPr>
          <w:p w14:paraId="06954E61" w14:textId="28056920" w:rsidR="00F408D5" w:rsidRPr="006545AD" w:rsidRDefault="006E7C70" w:rsidP="00D320C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chất thải rắn sinh hoạt</w:t>
            </w:r>
            <w:r w:rsidR="007D5748" w:rsidRPr="006545AD">
              <w:rPr>
                <w:rFonts w:ascii="Times New Roman" w:eastAsia="Times New Roman" w:hAnsi="Times New Roman" w:cs="Times New Roman"/>
                <w:sz w:val="28"/>
                <w:szCs w:val="28"/>
                <w:lang w:val="vi-VN"/>
              </w:rPr>
              <w:t xml:space="preserve"> </w:t>
            </w:r>
            <w:r w:rsidRPr="006545AD">
              <w:rPr>
                <w:rFonts w:ascii="Times New Roman" w:eastAsia="Times New Roman" w:hAnsi="Times New Roman" w:cs="Times New Roman"/>
                <w:sz w:val="28"/>
                <w:szCs w:val="28"/>
              </w:rPr>
              <w:t>phát sinh (tấn)</w:t>
            </w:r>
          </w:p>
        </w:tc>
        <w:tc>
          <w:tcPr>
            <w:tcW w:w="625" w:type="pct"/>
            <w:vMerge/>
            <w:tcBorders>
              <w:bottom w:val="nil"/>
              <w:right w:val="nil"/>
            </w:tcBorders>
            <w:shd w:val="clear" w:color="auto" w:fill="auto"/>
            <w:tcMar>
              <w:top w:w="100" w:type="dxa"/>
              <w:left w:w="100" w:type="dxa"/>
              <w:bottom w:w="100" w:type="dxa"/>
              <w:right w:w="100" w:type="dxa"/>
            </w:tcMar>
            <w:vAlign w:val="center"/>
          </w:tcPr>
          <w:p w14:paraId="28EC9F74" w14:textId="77777777" w:rsidR="00F408D5" w:rsidRPr="006545AD" w:rsidRDefault="00F408D5" w:rsidP="00923EF8">
            <w:pPr>
              <w:spacing w:before="60" w:after="60" w:line="360" w:lineRule="exact"/>
              <w:jc w:val="both"/>
              <w:rPr>
                <w:rFonts w:ascii="Times New Roman" w:eastAsia="Times New Roman" w:hAnsi="Times New Roman" w:cs="Times New Roman"/>
                <w:b/>
                <w:sz w:val="28"/>
                <w:szCs w:val="28"/>
              </w:rPr>
            </w:pPr>
          </w:p>
        </w:tc>
      </w:tr>
    </w:tbl>
    <w:p w14:paraId="64302AF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26ED53A6" w14:textId="77777777" w:rsidR="00F408D5" w:rsidRPr="006545AD" w:rsidRDefault="00F119DC"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sz w:val="28"/>
          <w:szCs w:val="28"/>
        </w:rPr>
        <w:t>- Thành thị/nông thôn;</w:t>
      </w:r>
    </w:p>
    <w:p w14:paraId="79AEBBD4" w14:textId="77777777" w:rsidR="00F408D5" w:rsidRPr="006545AD" w:rsidRDefault="00F119DC"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Tỉnh, thành phố trực thuộc </w:t>
      </w:r>
      <w:r w:rsidR="00E9456D" w:rsidRPr="006545AD">
        <w:rPr>
          <w:rFonts w:ascii="Times New Roman" w:eastAsia="Times New Roman" w:hAnsi="Times New Roman" w:cs="Times New Roman"/>
          <w:sz w:val="28"/>
          <w:szCs w:val="28"/>
        </w:rPr>
        <w:t>Trung ương</w:t>
      </w:r>
      <w:r w:rsidR="006E7C70" w:rsidRPr="006545AD">
        <w:rPr>
          <w:rFonts w:ascii="Times New Roman" w:eastAsia="Times New Roman" w:hAnsi="Times New Roman" w:cs="Times New Roman"/>
          <w:sz w:val="28"/>
          <w:szCs w:val="28"/>
        </w:rPr>
        <w:t>;</w:t>
      </w:r>
    </w:p>
    <w:p w14:paraId="3F689A8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E9456D" w:rsidRPr="006545AD">
        <w:rPr>
          <w:rFonts w:ascii="Times New Roman" w:eastAsia="Times New Roman" w:hAnsi="Times New Roman" w:cs="Times New Roman"/>
          <w:sz w:val="28"/>
          <w:szCs w:val="28"/>
        </w:rPr>
        <w:t>.</w:t>
      </w:r>
    </w:p>
    <w:p w14:paraId="2AFCA66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3987845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các chỉ tiêu về bảo vệ môi trường;</w:t>
      </w:r>
    </w:p>
    <w:p w14:paraId="1EED0B2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cấp quốc gia.</w:t>
      </w:r>
    </w:p>
    <w:p w14:paraId="06D168DB" w14:textId="6F123886" w:rsidR="00F119DC" w:rsidRPr="009E1776" w:rsidRDefault="006E7C70" w:rsidP="00E9456D">
      <w:pPr>
        <w:spacing w:before="60" w:after="60" w:line="360" w:lineRule="exact"/>
        <w:ind w:firstLine="720"/>
        <w:jc w:val="both"/>
        <w:rPr>
          <w:rFonts w:ascii="Times New Roman" w:eastAsia="Times New Roman" w:hAnsi="Times New Roman" w:cs="Times New Roman"/>
          <w:b/>
          <w:spacing w:val="-12"/>
          <w:sz w:val="28"/>
          <w:szCs w:val="28"/>
        </w:rPr>
      </w:pPr>
      <w:r w:rsidRPr="009E1776">
        <w:rPr>
          <w:rFonts w:ascii="Times New Roman" w:eastAsia="Times New Roman" w:hAnsi="Times New Roman" w:cs="Times New Roman"/>
          <w:b/>
          <w:spacing w:val="-12"/>
          <w:sz w:val="28"/>
          <w:szCs w:val="28"/>
        </w:rPr>
        <w:t>5. Cơ quan chịu trách nhiệm thu thập, tổng hợp:</w:t>
      </w:r>
      <w:r w:rsidR="00E9456D" w:rsidRPr="009E1776">
        <w:rPr>
          <w:rFonts w:ascii="Times New Roman" w:eastAsia="Times New Roman" w:hAnsi="Times New Roman" w:cs="Times New Roman"/>
          <w:b/>
          <w:spacing w:val="-12"/>
          <w:sz w:val="28"/>
          <w:szCs w:val="28"/>
        </w:rPr>
        <w:t xml:space="preserve"> </w:t>
      </w:r>
      <w:r w:rsidRPr="009E1776">
        <w:rPr>
          <w:rFonts w:ascii="Times New Roman" w:eastAsia="Times New Roman" w:hAnsi="Times New Roman" w:cs="Times New Roman"/>
          <w:spacing w:val="-12"/>
          <w:sz w:val="28"/>
          <w:szCs w:val="28"/>
        </w:rPr>
        <w:t>Bộ Tài Nguyên</w:t>
      </w:r>
      <w:r w:rsidR="000B3ABE" w:rsidRPr="009E1776">
        <w:rPr>
          <w:rFonts w:ascii="Times New Roman" w:eastAsia="Times New Roman" w:hAnsi="Times New Roman" w:cs="Times New Roman"/>
          <w:spacing w:val="-12"/>
          <w:sz w:val="28"/>
          <w:szCs w:val="28"/>
        </w:rPr>
        <w:t xml:space="preserve"> và</w:t>
      </w:r>
      <w:r w:rsidRPr="009E1776">
        <w:rPr>
          <w:rFonts w:ascii="Times New Roman" w:eastAsia="Times New Roman" w:hAnsi="Times New Roman" w:cs="Times New Roman"/>
          <w:spacing w:val="-12"/>
          <w:sz w:val="28"/>
          <w:szCs w:val="28"/>
        </w:rPr>
        <w:t xml:space="preserve"> Môi Trường</w:t>
      </w:r>
      <w:r w:rsidR="00E9456D" w:rsidRPr="009E1776">
        <w:rPr>
          <w:rFonts w:ascii="Times New Roman" w:eastAsia="Times New Roman" w:hAnsi="Times New Roman" w:cs="Times New Roman"/>
          <w:spacing w:val="-12"/>
          <w:sz w:val="28"/>
          <w:szCs w:val="28"/>
        </w:rPr>
        <w:t>.</w:t>
      </w:r>
    </w:p>
    <w:p w14:paraId="2AB047F1" w14:textId="77777777" w:rsidR="00F408D5" w:rsidRPr="006545AD" w:rsidRDefault="00F119DC"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3.2</w:t>
      </w:r>
      <w:r w:rsidR="006E7C70" w:rsidRPr="006545AD">
        <w:rPr>
          <w:rFonts w:ascii="Times New Roman" w:eastAsia="Times New Roman" w:hAnsi="Times New Roman" w:cs="Times New Roman"/>
          <w:b/>
          <w:sz w:val="28"/>
          <w:szCs w:val="28"/>
        </w:rPr>
        <w:t>. Tỷ lệ chất thải rắn sinh hoạt được xử lý bằng phương pháp chôn lấp trực tiếp</w:t>
      </w:r>
    </w:p>
    <w:p w14:paraId="47C4ACBC" w14:textId="77777777" w:rsidR="00F408D5" w:rsidRPr="006545AD" w:rsidRDefault="00F119DC"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5F238D6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chất thải rắn sinh hoạt được xử lý bằng phương pháp chôn lấp trực tiếp là tỷ lệ phần trăm tổng khối lượng chất thải rắn sinh hoạt được xử lý bằng phương pháp chôn lấp trực tiếp trên tổng khối lượng chất thải rắn sinh hoạt được xử lý của năm báo cáo.</w:t>
      </w:r>
    </w:p>
    <w:p w14:paraId="71F376F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chất thải rắn sinh hoạt được xử lý bằng phương pháp chôn lấp trực tiếp là khối lượng chất thải rắn sinh hoạt được thu gom từ các khu vực đô thị, nông thôn và được xử lý bằng phương pháp chôn lấp trực tiếp tại các bãi chôn lấp chất thải rắn sinh hoạt hợp vệ sinh, đáp ứng yêu cầu về bảo vệ môi trường.</w:t>
      </w:r>
    </w:p>
    <w:p w14:paraId="5C5BC2CC" w14:textId="729EA9A5" w:rsidR="00DE2FCB"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chất thải rắn sinh hoạt đô thị được xử lý là khối lượng chất thải rắn sinh hoạt được thu gom từ khu vực đô thị, nông thôn và được xử lý tại cơ sở xử lý chất thải rắn sinh hoạt được phép hoạt động theo quy định của pháp luật hoặc được chôn lấp trực tiếp tại các bãi chôn lấp chất thải rắn sinh hoạt hợp vệ sinh, đáp ứng yêu cầu về bảo vệ môi trường.</w:t>
      </w:r>
    </w:p>
    <w:p w14:paraId="12113922" w14:textId="77777777" w:rsidR="00553491" w:rsidRPr="006545AD" w:rsidRDefault="00553491" w:rsidP="00923EF8">
      <w:pPr>
        <w:spacing w:before="60" w:after="60" w:line="360" w:lineRule="exact"/>
        <w:ind w:firstLine="720"/>
        <w:jc w:val="both"/>
        <w:rPr>
          <w:rFonts w:ascii="Times New Roman" w:eastAsia="Times New Roman" w:hAnsi="Times New Roman" w:cs="Times New Roman"/>
          <w:sz w:val="28"/>
          <w:szCs w:val="28"/>
        </w:rPr>
      </w:pPr>
    </w:p>
    <w:p w14:paraId="39C99416" w14:textId="77777777" w:rsidR="00553491" w:rsidRPr="006545AD" w:rsidRDefault="00553491" w:rsidP="00923EF8">
      <w:pPr>
        <w:spacing w:before="60" w:after="60" w:line="360" w:lineRule="exact"/>
        <w:ind w:firstLine="720"/>
        <w:jc w:val="both"/>
        <w:rPr>
          <w:rFonts w:ascii="Times New Roman" w:eastAsia="Times New Roman" w:hAnsi="Times New Roman" w:cs="Times New Roman"/>
          <w:sz w:val="28"/>
          <w:szCs w:val="28"/>
        </w:rPr>
      </w:pPr>
    </w:p>
    <w:p w14:paraId="0542D574" w14:textId="77777777" w:rsidR="00553491" w:rsidRPr="006545AD" w:rsidRDefault="00553491" w:rsidP="00923EF8">
      <w:pPr>
        <w:spacing w:before="60" w:after="60" w:line="360" w:lineRule="exact"/>
        <w:ind w:firstLine="720"/>
        <w:jc w:val="both"/>
        <w:rPr>
          <w:rFonts w:ascii="Times New Roman" w:eastAsia="Times New Roman" w:hAnsi="Times New Roman" w:cs="Times New Roman"/>
          <w:sz w:val="28"/>
          <w:szCs w:val="28"/>
        </w:rPr>
      </w:pPr>
    </w:p>
    <w:p w14:paraId="7003853A" w14:textId="77777777" w:rsidR="00553491" w:rsidRPr="006545AD" w:rsidRDefault="00553491" w:rsidP="00923EF8">
      <w:pPr>
        <w:spacing w:before="60" w:after="60" w:line="360" w:lineRule="exact"/>
        <w:ind w:firstLine="720"/>
        <w:jc w:val="both"/>
        <w:rPr>
          <w:rFonts w:ascii="Times New Roman" w:eastAsia="Times New Roman" w:hAnsi="Times New Roman" w:cs="Times New Roman"/>
          <w:sz w:val="28"/>
          <w:szCs w:val="28"/>
        </w:rPr>
      </w:pPr>
    </w:p>
    <w:p w14:paraId="521AE3DA" w14:textId="77777777" w:rsidR="00553491" w:rsidRPr="006545AD" w:rsidRDefault="00553491" w:rsidP="00923EF8">
      <w:pPr>
        <w:spacing w:before="60" w:after="60" w:line="360" w:lineRule="exact"/>
        <w:ind w:firstLine="720"/>
        <w:jc w:val="both"/>
        <w:rPr>
          <w:rFonts w:ascii="Times New Roman" w:eastAsia="Times New Roman" w:hAnsi="Times New Roman" w:cs="Times New Roman"/>
          <w:sz w:val="28"/>
          <w:szCs w:val="28"/>
        </w:rPr>
      </w:pPr>
    </w:p>
    <w:p w14:paraId="451A1CC6" w14:textId="77777777" w:rsidR="000371FB" w:rsidRPr="006545AD" w:rsidRDefault="006E7C70" w:rsidP="005725BC">
      <w:pPr>
        <w:spacing w:line="350" w:lineRule="atLeas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p>
    <w:tbl>
      <w:tblPr>
        <w:tblStyle w:val="15"/>
        <w:tblW w:w="881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3004"/>
        <w:gridCol w:w="425"/>
        <w:gridCol w:w="4536"/>
        <w:gridCol w:w="851"/>
      </w:tblGrid>
      <w:tr w:rsidR="00F119DC" w:rsidRPr="006545AD" w14:paraId="432D0D18" w14:textId="77777777" w:rsidTr="005725BC">
        <w:trPr>
          <w:trHeight w:val="447"/>
        </w:trPr>
        <w:tc>
          <w:tcPr>
            <w:tcW w:w="3004" w:type="dxa"/>
            <w:vMerge w:val="restart"/>
            <w:tcBorders>
              <w:top w:val="nil"/>
              <w:left w:val="nil"/>
              <w:bottom w:val="nil"/>
              <w:right w:val="nil"/>
            </w:tcBorders>
            <w:tcMar>
              <w:top w:w="100" w:type="dxa"/>
              <w:left w:w="100" w:type="dxa"/>
              <w:bottom w:w="100" w:type="dxa"/>
              <w:right w:w="100" w:type="dxa"/>
            </w:tcMar>
            <w:vAlign w:val="center"/>
          </w:tcPr>
          <w:p w14:paraId="15CEB37F" w14:textId="77777777" w:rsidR="00F119DC" w:rsidRPr="006545AD" w:rsidRDefault="00F119DC"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chất thải rắn sinh hoạt được xử lý bằng phương pháp chôn lấp trực tiếp (%)</w:t>
            </w:r>
          </w:p>
        </w:tc>
        <w:tc>
          <w:tcPr>
            <w:tcW w:w="425" w:type="dxa"/>
            <w:vMerge w:val="restart"/>
            <w:tcBorders>
              <w:top w:val="nil"/>
              <w:left w:val="nil"/>
              <w:bottom w:val="nil"/>
              <w:right w:val="nil"/>
            </w:tcBorders>
            <w:tcMar>
              <w:top w:w="100" w:type="dxa"/>
              <w:left w:w="100" w:type="dxa"/>
              <w:bottom w:w="100" w:type="dxa"/>
              <w:right w:w="100" w:type="dxa"/>
            </w:tcMar>
            <w:vAlign w:val="center"/>
          </w:tcPr>
          <w:p w14:paraId="35C8C144" w14:textId="77777777" w:rsidR="00F119DC" w:rsidRPr="006545AD" w:rsidRDefault="00F119DC"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536" w:type="dxa"/>
            <w:tcBorders>
              <w:top w:val="nil"/>
              <w:left w:val="nil"/>
              <w:bottom w:val="single" w:sz="8" w:space="0" w:color="000000"/>
              <w:right w:val="nil"/>
            </w:tcBorders>
            <w:tcMar>
              <w:top w:w="100" w:type="dxa"/>
              <w:left w:w="100" w:type="dxa"/>
              <w:bottom w:w="100" w:type="dxa"/>
              <w:right w:w="100" w:type="dxa"/>
            </w:tcMar>
            <w:vAlign w:val="center"/>
          </w:tcPr>
          <w:p w14:paraId="71AB1508" w14:textId="77777777" w:rsidR="00F119DC" w:rsidRPr="006545AD" w:rsidRDefault="00F119DC"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chất thải rắn sinh hoạt được xử lý bằng phương pháp chôn lấp trực tiếp (tấn)</w:t>
            </w:r>
          </w:p>
        </w:tc>
        <w:tc>
          <w:tcPr>
            <w:tcW w:w="851" w:type="dxa"/>
            <w:vMerge w:val="restart"/>
            <w:tcBorders>
              <w:top w:val="nil"/>
              <w:left w:val="nil"/>
              <w:bottom w:val="nil"/>
              <w:right w:val="nil"/>
            </w:tcBorders>
            <w:tcMar>
              <w:top w:w="100" w:type="dxa"/>
              <w:left w:w="100" w:type="dxa"/>
              <w:bottom w:w="100" w:type="dxa"/>
              <w:right w:w="100" w:type="dxa"/>
            </w:tcMar>
            <w:vAlign w:val="center"/>
          </w:tcPr>
          <w:p w14:paraId="4B52D11C" w14:textId="4BDF018C" w:rsidR="00F119DC" w:rsidRPr="006545AD" w:rsidRDefault="002B3F61" w:rsidP="005725BC">
            <w:pPr>
              <w:spacing w:line="350" w:lineRule="atLeast"/>
              <w:jc w:val="center"/>
              <w:rPr>
                <w:rFonts w:ascii="Times New Roman" w:eastAsia="Times New Roman" w:hAnsi="Times New Roman" w:cs="Times New Roman"/>
                <w:sz w:val="28"/>
                <w:szCs w:val="28"/>
              </w:rPr>
            </w:pPr>
            <w:r w:rsidRPr="006545AD">
              <w:rPr>
                <w:sz w:val="26"/>
                <w:szCs w:val="26"/>
              </w:rPr>
              <w:t>×</w:t>
            </w:r>
            <w:r w:rsidR="001B021B" w:rsidRPr="006545AD">
              <w:rPr>
                <w:rFonts w:ascii="Times New Roman" w:eastAsia="Times New Roman" w:hAnsi="Times New Roman" w:cs="Times New Roman"/>
                <w:sz w:val="28"/>
                <w:szCs w:val="28"/>
              </w:rPr>
              <w:t xml:space="preserve"> </w:t>
            </w:r>
            <w:r w:rsidR="00F119DC" w:rsidRPr="006545AD">
              <w:rPr>
                <w:rFonts w:ascii="Times New Roman" w:eastAsia="Times New Roman" w:hAnsi="Times New Roman" w:cs="Times New Roman"/>
                <w:sz w:val="28"/>
                <w:szCs w:val="28"/>
              </w:rPr>
              <w:t>100</w:t>
            </w:r>
          </w:p>
        </w:tc>
      </w:tr>
      <w:tr w:rsidR="00F119DC" w:rsidRPr="006545AD" w14:paraId="62F4BBB5" w14:textId="77777777" w:rsidTr="005725BC">
        <w:trPr>
          <w:trHeight w:val="1040"/>
        </w:trPr>
        <w:tc>
          <w:tcPr>
            <w:tcW w:w="3004" w:type="dxa"/>
            <w:vMerge/>
            <w:tcBorders>
              <w:bottom w:val="nil"/>
              <w:right w:val="nil"/>
            </w:tcBorders>
            <w:shd w:val="clear" w:color="auto" w:fill="auto"/>
            <w:tcMar>
              <w:top w:w="100" w:type="dxa"/>
              <w:left w:w="100" w:type="dxa"/>
              <w:bottom w:w="100" w:type="dxa"/>
              <w:right w:w="100" w:type="dxa"/>
            </w:tcMar>
            <w:vAlign w:val="center"/>
          </w:tcPr>
          <w:p w14:paraId="325C171A" w14:textId="77777777" w:rsidR="00F119DC" w:rsidRPr="006545AD" w:rsidRDefault="00F119DC" w:rsidP="005725BC">
            <w:pPr>
              <w:spacing w:line="350" w:lineRule="atLeast"/>
              <w:jc w:val="both"/>
              <w:rPr>
                <w:rFonts w:ascii="Times New Roman" w:eastAsia="Times New Roman" w:hAnsi="Times New Roman" w:cs="Times New Roman"/>
                <w:b/>
                <w:sz w:val="28"/>
                <w:szCs w:val="28"/>
              </w:rPr>
            </w:pPr>
          </w:p>
        </w:tc>
        <w:tc>
          <w:tcPr>
            <w:tcW w:w="425" w:type="dxa"/>
            <w:vMerge/>
            <w:tcBorders>
              <w:bottom w:val="nil"/>
              <w:right w:val="nil"/>
            </w:tcBorders>
            <w:shd w:val="clear" w:color="auto" w:fill="auto"/>
            <w:tcMar>
              <w:top w:w="100" w:type="dxa"/>
              <w:left w:w="100" w:type="dxa"/>
              <w:bottom w:w="100" w:type="dxa"/>
              <w:right w:w="100" w:type="dxa"/>
            </w:tcMar>
            <w:vAlign w:val="center"/>
          </w:tcPr>
          <w:p w14:paraId="11EF21EE" w14:textId="77777777" w:rsidR="00F119DC" w:rsidRPr="006545AD" w:rsidRDefault="00F119DC" w:rsidP="005725BC">
            <w:pPr>
              <w:spacing w:line="350" w:lineRule="atLeast"/>
              <w:jc w:val="both"/>
              <w:rPr>
                <w:rFonts w:ascii="Times New Roman" w:eastAsia="Times New Roman" w:hAnsi="Times New Roman" w:cs="Times New Roman"/>
                <w:b/>
                <w:sz w:val="28"/>
                <w:szCs w:val="28"/>
              </w:rPr>
            </w:pP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1DF56701" w14:textId="77777777" w:rsidR="00F119DC" w:rsidRPr="006545AD" w:rsidRDefault="00F119DC"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lượng chất thải rắn sinh hoạt được xử lý (tấn)</w:t>
            </w:r>
          </w:p>
        </w:tc>
        <w:tc>
          <w:tcPr>
            <w:tcW w:w="851" w:type="dxa"/>
            <w:vMerge/>
            <w:tcBorders>
              <w:bottom w:val="nil"/>
              <w:right w:val="nil"/>
            </w:tcBorders>
            <w:shd w:val="clear" w:color="auto" w:fill="auto"/>
            <w:tcMar>
              <w:top w:w="100" w:type="dxa"/>
              <w:left w:w="100" w:type="dxa"/>
              <w:bottom w:w="100" w:type="dxa"/>
              <w:right w:w="100" w:type="dxa"/>
            </w:tcMar>
            <w:vAlign w:val="center"/>
          </w:tcPr>
          <w:p w14:paraId="6A7D4609" w14:textId="77777777" w:rsidR="00F119DC" w:rsidRPr="006545AD" w:rsidRDefault="00F119DC" w:rsidP="005725BC">
            <w:pPr>
              <w:spacing w:line="350" w:lineRule="atLeast"/>
              <w:jc w:val="both"/>
              <w:rPr>
                <w:rFonts w:ascii="Times New Roman" w:eastAsia="Times New Roman" w:hAnsi="Times New Roman" w:cs="Times New Roman"/>
                <w:b/>
                <w:sz w:val="28"/>
                <w:szCs w:val="28"/>
              </w:rPr>
            </w:pPr>
          </w:p>
        </w:tc>
      </w:tr>
    </w:tbl>
    <w:p w14:paraId="61D1F2EE" w14:textId="77777777" w:rsidR="00F408D5" w:rsidRPr="006545AD" w:rsidRDefault="006E7C70" w:rsidP="005725BC">
      <w:pPr>
        <w:spacing w:line="350" w:lineRule="atLeas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4E618F0B" w14:textId="77777777" w:rsidR="00F408D5"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Thành thị/nông thôn;</w:t>
      </w:r>
    </w:p>
    <w:p w14:paraId="0FB97922" w14:textId="77777777" w:rsidR="00F408D5"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Tỉnh, thành phố trực thuộc </w:t>
      </w:r>
      <w:r w:rsidR="00E9456D" w:rsidRPr="006545AD">
        <w:rPr>
          <w:rFonts w:ascii="Times New Roman" w:eastAsia="Times New Roman" w:hAnsi="Times New Roman" w:cs="Times New Roman"/>
          <w:sz w:val="28"/>
          <w:szCs w:val="28"/>
        </w:rPr>
        <w:t>Trung ương</w:t>
      </w:r>
      <w:r w:rsidR="00CB5D5D" w:rsidRPr="006545AD">
        <w:rPr>
          <w:rFonts w:ascii="Times New Roman" w:eastAsia="Times New Roman" w:hAnsi="Times New Roman" w:cs="Times New Roman"/>
          <w:sz w:val="28"/>
          <w:szCs w:val="28"/>
        </w:rPr>
        <w:t>.</w:t>
      </w:r>
    </w:p>
    <w:p w14:paraId="5968C28D" w14:textId="77777777" w:rsidR="00F408D5" w:rsidRPr="006545AD" w:rsidRDefault="006E7C70" w:rsidP="005725BC">
      <w:pPr>
        <w:spacing w:line="350" w:lineRule="atLeas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CB5D5D" w:rsidRPr="006545AD">
        <w:rPr>
          <w:rFonts w:ascii="Times New Roman" w:eastAsia="Times New Roman" w:hAnsi="Times New Roman" w:cs="Times New Roman"/>
          <w:sz w:val="28"/>
          <w:szCs w:val="28"/>
        </w:rPr>
        <w:t>.</w:t>
      </w:r>
    </w:p>
    <w:p w14:paraId="22FC73B7" w14:textId="77777777" w:rsidR="00F408D5" w:rsidRPr="006545AD" w:rsidRDefault="006E7C70" w:rsidP="005725BC">
      <w:pPr>
        <w:spacing w:line="350" w:lineRule="atLeas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49EFFAD0" w14:textId="77777777" w:rsidR="00F408D5"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sz w:val="28"/>
          <w:szCs w:val="28"/>
        </w:rPr>
        <w:t>- Điều tra các chỉ tiêu về bảo vệ môi trường;</w:t>
      </w:r>
    </w:p>
    <w:p w14:paraId="3645816A" w14:textId="308B8C04" w:rsidR="000E18F2"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Chế độ báo cáo thống kê </w:t>
      </w:r>
      <w:r w:rsidR="000E18F2" w:rsidRPr="006545AD">
        <w:rPr>
          <w:rFonts w:ascii="Times New Roman" w:eastAsia="Times New Roman" w:hAnsi="Times New Roman" w:cs="Times New Roman"/>
          <w:sz w:val="28"/>
          <w:szCs w:val="28"/>
        </w:rPr>
        <w:t>ngành tài nguyên và môi trường.</w:t>
      </w:r>
    </w:p>
    <w:p w14:paraId="763A2C1E" w14:textId="0D2C4942" w:rsidR="00F408D5" w:rsidRPr="006545AD" w:rsidRDefault="000E18F2" w:rsidP="009E1776">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9E1776">
        <w:rPr>
          <w:rFonts w:ascii="Times New Roman" w:eastAsia="Times New Roman" w:hAnsi="Times New Roman" w:cs="Times New Roman"/>
          <w:b/>
          <w:spacing w:val="-12"/>
          <w:sz w:val="28"/>
          <w:szCs w:val="28"/>
        </w:rPr>
        <w:t>5. Cơ quan chịu trách nhiệm thu thập, tổng hợp:</w:t>
      </w:r>
      <w:r w:rsidR="00702499" w:rsidRPr="009E1776">
        <w:rPr>
          <w:rFonts w:ascii="Times New Roman" w:eastAsia="Times New Roman" w:hAnsi="Times New Roman" w:cs="Times New Roman"/>
          <w:spacing w:val="-12"/>
          <w:sz w:val="28"/>
          <w:szCs w:val="28"/>
        </w:rPr>
        <w:t xml:space="preserve"> </w:t>
      </w:r>
      <w:r w:rsidR="006E7C70" w:rsidRPr="009E1776">
        <w:rPr>
          <w:rFonts w:ascii="Times New Roman" w:eastAsia="Times New Roman" w:hAnsi="Times New Roman" w:cs="Times New Roman"/>
          <w:spacing w:val="-12"/>
          <w:sz w:val="28"/>
          <w:szCs w:val="28"/>
        </w:rPr>
        <w:t xml:space="preserve">Bộ </w:t>
      </w:r>
      <w:r w:rsidR="00E9456D" w:rsidRPr="009E1776">
        <w:rPr>
          <w:rFonts w:ascii="Times New Roman" w:eastAsia="Times New Roman" w:hAnsi="Times New Roman" w:cs="Times New Roman"/>
          <w:spacing w:val="-12"/>
          <w:sz w:val="28"/>
          <w:szCs w:val="28"/>
        </w:rPr>
        <w:t>Tài nguyên</w:t>
      </w:r>
      <w:r w:rsidR="000B3ABE" w:rsidRPr="009E1776">
        <w:rPr>
          <w:rFonts w:ascii="Times New Roman" w:eastAsia="Times New Roman" w:hAnsi="Times New Roman" w:cs="Times New Roman"/>
          <w:spacing w:val="-12"/>
          <w:sz w:val="28"/>
          <w:szCs w:val="28"/>
        </w:rPr>
        <w:t xml:space="preserve"> và</w:t>
      </w:r>
      <w:r w:rsidR="006E7C70" w:rsidRPr="009E1776">
        <w:rPr>
          <w:rFonts w:ascii="Times New Roman" w:eastAsia="Times New Roman" w:hAnsi="Times New Roman" w:cs="Times New Roman"/>
          <w:spacing w:val="-12"/>
          <w:sz w:val="28"/>
          <w:szCs w:val="28"/>
        </w:rPr>
        <w:t xml:space="preserve"> </w:t>
      </w:r>
      <w:r w:rsidR="000B3ABE" w:rsidRPr="009E1776">
        <w:rPr>
          <w:rFonts w:ascii="Times New Roman" w:eastAsia="Times New Roman" w:hAnsi="Times New Roman" w:cs="Times New Roman"/>
          <w:spacing w:val="-12"/>
          <w:sz w:val="28"/>
          <w:szCs w:val="28"/>
        </w:rPr>
        <w:t>M</w:t>
      </w:r>
      <w:r w:rsidR="006E7C70" w:rsidRPr="009E1776">
        <w:rPr>
          <w:rFonts w:ascii="Times New Roman" w:eastAsia="Times New Roman" w:hAnsi="Times New Roman" w:cs="Times New Roman"/>
          <w:spacing w:val="-12"/>
          <w:sz w:val="28"/>
          <w:szCs w:val="28"/>
        </w:rPr>
        <w:t>ôi trường</w:t>
      </w:r>
      <w:r w:rsidR="00C70840" w:rsidRPr="009E1776">
        <w:rPr>
          <w:rFonts w:ascii="Times New Roman" w:eastAsia="Times New Roman" w:hAnsi="Times New Roman" w:cs="Times New Roman"/>
          <w:spacing w:val="-12"/>
          <w:sz w:val="28"/>
          <w:szCs w:val="28"/>
        </w:rPr>
        <w:t>.</w:t>
      </w:r>
    </w:p>
    <w:p w14:paraId="50C055C7" w14:textId="0BF8503B" w:rsidR="00F408D5" w:rsidRPr="006545AD" w:rsidRDefault="00B17E12" w:rsidP="005725BC">
      <w:pPr>
        <w:spacing w:line="350" w:lineRule="atLeas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3</w:t>
      </w:r>
      <w:r w:rsidR="00836A4E" w:rsidRPr="006545AD">
        <w:rPr>
          <w:rFonts w:ascii="Times New Roman" w:eastAsia="Times New Roman" w:hAnsi="Times New Roman" w:cs="Times New Roman"/>
          <w:b/>
          <w:sz w:val="28"/>
          <w:szCs w:val="28"/>
        </w:rPr>
        <w:t>.</w:t>
      </w:r>
      <w:r w:rsidR="00540DCF" w:rsidRPr="006545AD">
        <w:rPr>
          <w:rFonts w:ascii="Times New Roman" w:eastAsia="Times New Roman" w:hAnsi="Times New Roman" w:cs="Times New Roman"/>
          <w:b/>
          <w:sz w:val="28"/>
          <w:szCs w:val="28"/>
        </w:rPr>
        <w:t>3</w:t>
      </w:r>
      <w:r w:rsidR="006E7C70" w:rsidRPr="006545AD">
        <w:rPr>
          <w:rFonts w:ascii="Times New Roman" w:eastAsia="Times New Roman" w:hAnsi="Times New Roman" w:cs="Times New Roman"/>
          <w:b/>
          <w:sz w:val="28"/>
          <w:szCs w:val="28"/>
        </w:rPr>
        <w:t>. Tỷ lệ chất thải nguy hại được thu gom, xử lý</w:t>
      </w:r>
    </w:p>
    <w:p w14:paraId="7DA79033" w14:textId="77777777" w:rsidR="00F408D5" w:rsidRPr="006545AD" w:rsidRDefault="00F119DC" w:rsidP="005725BC">
      <w:pPr>
        <w:spacing w:line="350" w:lineRule="atLeas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2053FDB9" w14:textId="77777777" w:rsidR="00F408D5"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Tỷ lệ chất thải nguy hại được thu gom, xử lý là tỷ lệ phần trăm các chất thải nguy hại được thu gom, xử lý (kể cả tái chế, đồng xử lý, thu hồi năng lượng từ chất thải nguy hại) trên tổng khối lượng chất thải nguy hại phát sinh.</w:t>
      </w:r>
    </w:p>
    <w:p w14:paraId="51396C29" w14:textId="77777777" w:rsidR="00F408D5" w:rsidRPr="006545AD" w:rsidRDefault="00F119DC" w:rsidP="005725BC">
      <w:pPr>
        <w:spacing w:line="350" w:lineRule="atLeas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pacing w:val="-4"/>
          <w:sz w:val="28"/>
          <w:szCs w:val="28"/>
        </w:rPr>
        <w:t>Tỷ lệ này càng cao phản ánh mức độ bảo vệ môi trường càng tốt và ngược lại.</w:t>
      </w:r>
    </w:p>
    <w:p w14:paraId="22F74573" w14:textId="77777777" w:rsidR="00F408D5"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Chất thải là vật chất ở thể rắn, lỏng, khí hoặc ở dạng khác được thải ra từ hoạt động sản xuất, kinh doanh, dịch vụ, sinh hoạt hoặc hoạt động khác.</w:t>
      </w:r>
    </w:p>
    <w:p w14:paraId="03301D7B" w14:textId="77777777" w:rsidR="00F408D5"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Chất thải nguy hại là chất thải chứa yếu tố độc hại, phóng xạ, lây nhiễm, dễ cháy, dễ nổ, gây ăn mòn, gây ngộ độc hoặc có đặc tính nguy hại khác.</w:t>
      </w:r>
    </w:p>
    <w:p w14:paraId="67E79CD9" w14:textId="77777777" w:rsidR="000371FB" w:rsidRPr="006545AD" w:rsidRDefault="00F119DC" w:rsidP="005725BC">
      <w:pPr>
        <w:spacing w:line="350" w:lineRule="atLeas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sz w:val="28"/>
          <w:szCs w:val="28"/>
        </w:rPr>
        <w:t xml:space="preserve">Công thức tính: </w:t>
      </w:r>
    </w:p>
    <w:tbl>
      <w:tblPr>
        <w:tblStyle w:val="15"/>
        <w:tblW w:w="9073"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2862"/>
        <w:gridCol w:w="425"/>
        <w:gridCol w:w="4678"/>
        <w:gridCol w:w="1108"/>
      </w:tblGrid>
      <w:tr w:rsidR="000371FB" w:rsidRPr="006545AD" w14:paraId="5F9DC914" w14:textId="77777777" w:rsidTr="005725BC">
        <w:trPr>
          <w:trHeight w:val="267"/>
        </w:trPr>
        <w:tc>
          <w:tcPr>
            <w:tcW w:w="2862" w:type="dxa"/>
            <w:vMerge w:val="restart"/>
            <w:tcBorders>
              <w:top w:val="nil"/>
              <w:left w:val="nil"/>
              <w:bottom w:val="nil"/>
              <w:right w:val="nil"/>
            </w:tcBorders>
            <w:tcMar>
              <w:top w:w="100" w:type="dxa"/>
              <w:left w:w="100" w:type="dxa"/>
              <w:bottom w:w="100" w:type="dxa"/>
              <w:right w:w="100" w:type="dxa"/>
            </w:tcMar>
            <w:vAlign w:val="center"/>
          </w:tcPr>
          <w:p w14:paraId="3B790E45" w14:textId="77777777" w:rsidR="000371FB" w:rsidRPr="006545AD" w:rsidRDefault="000371FB"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chất thải nguy hại được thu gom, xử lý (%)</w:t>
            </w:r>
          </w:p>
        </w:tc>
        <w:tc>
          <w:tcPr>
            <w:tcW w:w="425" w:type="dxa"/>
            <w:vMerge w:val="restart"/>
            <w:tcBorders>
              <w:top w:val="nil"/>
              <w:left w:val="nil"/>
              <w:bottom w:val="nil"/>
              <w:right w:val="nil"/>
            </w:tcBorders>
            <w:tcMar>
              <w:top w:w="100" w:type="dxa"/>
              <w:left w:w="100" w:type="dxa"/>
              <w:bottom w:w="100" w:type="dxa"/>
              <w:right w:w="100" w:type="dxa"/>
            </w:tcMar>
            <w:vAlign w:val="center"/>
          </w:tcPr>
          <w:p w14:paraId="2E254AF4" w14:textId="77777777" w:rsidR="000371FB" w:rsidRPr="006545AD" w:rsidRDefault="000371FB"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678" w:type="dxa"/>
            <w:tcBorders>
              <w:top w:val="nil"/>
              <w:left w:val="nil"/>
              <w:bottom w:val="single" w:sz="8" w:space="0" w:color="000000"/>
              <w:right w:val="nil"/>
            </w:tcBorders>
            <w:tcMar>
              <w:top w:w="100" w:type="dxa"/>
              <w:left w:w="100" w:type="dxa"/>
              <w:bottom w:w="100" w:type="dxa"/>
              <w:right w:w="100" w:type="dxa"/>
            </w:tcMar>
            <w:vAlign w:val="center"/>
          </w:tcPr>
          <w:p w14:paraId="67B93CF8" w14:textId="77777777" w:rsidR="000371FB" w:rsidRPr="006545AD" w:rsidRDefault="000371FB"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Khối lượng chất thải nguy hại được thu gom, xử lý (tấn)</w:t>
            </w:r>
          </w:p>
        </w:tc>
        <w:tc>
          <w:tcPr>
            <w:tcW w:w="1108" w:type="dxa"/>
            <w:vMerge w:val="restart"/>
            <w:tcBorders>
              <w:top w:val="nil"/>
              <w:left w:val="nil"/>
              <w:bottom w:val="nil"/>
              <w:right w:val="nil"/>
            </w:tcBorders>
            <w:tcMar>
              <w:top w:w="100" w:type="dxa"/>
              <w:left w:w="100" w:type="dxa"/>
              <w:bottom w:w="100" w:type="dxa"/>
              <w:right w:w="100" w:type="dxa"/>
            </w:tcMar>
            <w:vAlign w:val="center"/>
          </w:tcPr>
          <w:p w14:paraId="4864D720" w14:textId="0D68EF9D" w:rsidR="000371FB" w:rsidRPr="006545AD" w:rsidRDefault="002B3F61" w:rsidP="005725BC">
            <w:pPr>
              <w:spacing w:line="350" w:lineRule="atLeast"/>
              <w:jc w:val="center"/>
              <w:rPr>
                <w:rFonts w:ascii="Times New Roman" w:eastAsia="Times New Roman" w:hAnsi="Times New Roman" w:cs="Times New Roman"/>
                <w:b/>
                <w:sz w:val="28"/>
                <w:szCs w:val="28"/>
              </w:rPr>
            </w:pPr>
            <w:r w:rsidRPr="006545AD">
              <w:rPr>
                <w:sz w:val="26"/>
                <w:szCs w:val="26"/>
              </w:rPr>
              <w:t>×</w:t>
            </w:r>
            <w:r w:rsidR="00240F0A" w:rsidRPr="006545AD">
              <w:rPr>
                <w:rFonts w:ascii="Times New Roman" w:eastAsia="Times New Roman" w:hAnsi="Times New Roman" w:cs="Times New Roman"/>
                <w:sz w:val="28"/>
                <w:szCs w:val="28"/>
              </w:rPr>
              <w:t xml:space="preserve"> </w:t>
            </w:r>
            <w:r w:rsidR="000371FB" w:rsidRPr="006545AD">
              <w:rPr>
                <w:rFonts w:ascii="Times New Roman" w:eastAsia="Times New Roman" w:hAnsi="Times New Roman" w:cs="Times New Roman"/>
                <w:sz w:val="28"/>
                <w:szCs w:val="28"/>
              </w:rPr>
              <w:t>100</w:t>
            </w:r>
          </w:p>
        </w:tc>
      </w:tr>
      <w:tr w:rsidR="000371FB" w:rsidRPr="006545AD" w14:paraId="4990956A" w14:textId="77777777" w:rsidTr="005725BC">
        <w:trPr>
          <w:trHeight w:val="756"/>
        </w:trPr>
        <w:tc>
          <w:tcPr>
            <w:tcW w:w="2862" w:type="dxa"/>
            <w:vMerge/>
            <w:tcBorders>
              <w:bottom w:val="nil"/>
              <w:right w:val="nil"/>
            </w:tcBorders>
            <w:shd w:val="clear" w:color="auto" w:fill="auto"/>
            <w:tcMar>
              <w:top w:w="100" w:type="dxa"/>
              <w:left w:w="100" w:type="dxa"/>
              <w:bottom w:w="100" w:type="dxa"/>
              <w:right w:w="100" w:type="dxa"/>
            </w:tcMar>
            <w:vAlign w:val="center"/>
          </w:tcPr>
          <w:p w14:paraId="4337F808" w14:textId="77777777" w:rsidR="000371FB" w:rsidRPr="006545AD" w:rsidRDefault="000371FB" w:rsidP="005725BC">
            <w:pPr>
              <w:spacing w:line="350" w:lineRule="atLeast"/>
              <w:jc w:val="both"/>
              <w:rPr>
                <w:rFonts w:ascii="Times New Roman" w:eastAsia="Times New Roman" w:hAnsi="Times New Roman" w:cs="Times New Roman"/>
                <w:b/>
                <w:sz w:val="28"/>
                <w:szCs w:val="28"/>
              </w:rPr>
            </w:pPr>
          </w:p>
        </w:tc>
        <w:tc>
          <w:tcPr>
            <w:tcW w:w="425" w:type="dxa"/>
            <w:vMerge/>
            <w:tcBorders>
              <w:bottom w:val="nil"/>
              <w:right w:val="nil"/>
            </w:tcBorders>
            <w:shd w:val="clear" w:color="auto" w:fill="auto"/>
            <w:tcMar>
              <w:top w:w="100" w:type="dxa"/>
              <w:left w:w="100" w:type="dxa"/>
              <w:bottom w:w="100" w:type="dxa"/>
              <w:right w:w="100" w:type="dxa"/>
            </w:tcMar>
            <w:vAlign w:val="center"/>
          </w:tcPr>
          <w:p w14:paraId="553316BC" w14:textId="77777777" w:rsidR="000371FB" w:rsidRPr="006545AD" w:rsidRDefault="000371FB" w:rsidP="005725BC">
            <w:pPr>
              <w:spacing w:line="350" w:lineRule="atLeast"/>
              <w:jc w:val="both"/>
              <w:rPr>
                <w:rFonts w:ascii="Times New Roman" w:eastAsia="Times New Roman" w:hAnsi="Times New Roman" w:cs="Times New Roman"/>
                <w:b/>
                <w:sz w:val="28"/>
                <w:szCs w:val="28"/>
              </w:rPr>
            </w:pPr>
          </w:p>
        </w:tc>
        <w:tc>
          <w:tcPr>
            <w:tcW w:w="4678" w:type="dxa"/>
            <w:tcBorders>
              <w:top w:val="nil"/>
              <w:left w:val="nil"/>
              <w:bottom w:val="nil"/>
              <w:right w:val="nil"/>
            </w:tcBorders>
            <w:shd w:val="clear" w:color="auto" w:fill="auto"/>
            <w:tcMar>
              <w:top w:w="100" w:type="dxa"/>
              <w:left w:w="100" w:type="dxa"/>
              <w:bottom w:w="100" w:type="dxa"/>
              <w:right w:w="100" w:type="dxa"/>
            </w:tcMar>
            <w:vAlign w:val="center"/>
          </w:tcPr>
          <w:p w14:paraId="23FBFD3F" w14:textId="77777777" w:rsidR="000371FB" w:rsidRPr="006545AD" w:rsidRDefault="000371FB" w:rsidP="005725BC">
            <w:pPr>
              <w:spacing w:line="350" w:lineRule="atLeas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chất thải nguy hại phát sinh (tấn)</w:t>
            </w:r>
          </w:p>
        </w:tc>
        <w:tc>
          <w:tcPr>
            <w:tcW w:w="1108" w:type="dxa"/>
            <w:vMerge/>
            <w:tcBorders>
              <w:bottom w:val="nil"/>
              <w:right w:val="nil"/>
            </w:tcBorders>
            <w:shd w:val="clear" w:color="auto" w:fill="auto"/>
            <w:tcMar>
              <w:top w:w="100" w:type="dxa"/>
              <w:left w:w="100" w:type="dxa"/>
              <w:bottom w:w="100" w:type="dxa"/>
              <w:right w:w="100" w:type="dxa"/>
            </w:tcMar>
            <w:vAlign w:val="center"/>
          </w:tcPr>
          <w:p w14:paraId="152F104A" w14:textId="77777777" w:rsidR="000371FB" w:rsidRPr="006545AD" w:rsidRDefault="000371FB" w:rsidP="005725BC">
            <w:pPr>
              <w:spacing w:line="350" w:lineRule="atLeast"/>
              <w:jc w:val="both"/>
              <w:rPr>
                <w:rFonts w:ascii="Times New Roman" w:eastAsia="Times New Roman" w:hAnsi="Times New Roman" w:cs="Times New Roman"/>
                <w:b/>
                <w:sz w:val="28"/>
                <w:szCs w:val="28"/>
              </w:rPr>
            </w:pPr>
          </w:p>
        </w:tc>
      </w:tr>
    </w:tbl>
    <w:p w14:paraId="4AC0D5A1" w14:textId="77777777" w:rsidR="00F408D5" w:rsidRPr="006545AD" w:rsidRDefault="006E7C70" w:rsidP="005725BC">
      <w:pPr>
        <w:spacing w:line="350" w:lineRule="atLeas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2D05E53" w14:textId="77777777" w:rsidR="00F408D5" w:rsidRPr="006545AD" w:rsidRDefault="006E7C70" w:rsidP="005725BC">
      <w:pPr>
        <w:spacing w:line="350" w:lineRule="atLeas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Thu gom/xử lý;</w:t>
      </w:r>
    </w:p>
    <w:p w14:paraId="6EBF7203" w14:textId="77777777" w:rsidR="00F408D5" w:rsidRPr="006545AD" w:rsidRDefault="006E7C70" w:rsidP="005725BC">
      <w:pPr>
        <w:spacing w:line="350" w:lineRule="atLeas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thành phố trực thuộc </w:t>
      </w:r>
      <w:r w:rsidR="00E9456D" w:rsidRPr="006545AD">
        <w:rPr>
          <w:rFonts w:ascii="Times New Roman" w:eastAsia="Times New Roman" w:hAnsi="Times New Roman" w:cs="Times New Roman"/>
          <w:sz w:val="28"/>
          <w:szCs w:val="28"/>
        </w:rPr>
        <w:t>Trung ương</w:t>
      </w:r>
      <w:r w:rsidRPr="006545AD">
        <w:rPr>
          <w:rFonts w:ascii="Times New Roman" w:eastAsia="Times New Roman" w:hAnsi="Times New Roman" w:cs="Times New Roman"/>
          <w:sz w:val="28"/>
          <w:szCs w:val="28"/>
        </w:rPr>
        <w:t>.</w:t>
      </w:r>
    </w:p>
    <w:p w14:paraId="4185D174"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3. Kỳ công bố: Năm</w:t>
      </w:r>
    </w:p>
    <w:p w14:paraId="45C12C6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1ED230E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các chỉ tiêu về bảo vệ môi trường;</w:t>
      </w:r>
    </w:p>
    <w:p w14:paraId="00AB0FE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cấp quốc gia;</w:t>
      </w:r>
    </w:p>
    <w:p w14:paraId="3D8E89D5" w14:textId="0DBD0FE9"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 xml:space="preserve">- Chế độ báo cáo thống kê </w:t>
      </w:r>
      <w:r w:rsidR="008605DF" w:rsidRPr="006545AD">
        <w:rPr>
          <w:rFonts w:ascii="Times New Roman" w:eastAsia="Times New Roman" w:hAnsi="Times New Roman" w:cs="Times New Roman"/>
          <w:sz w:val="28"/>
          <w:szCs w:val="28"/>
        </w:rPr>
        <w:t>ngành tài nguyên và môi trường</w:t>
      </w:r>
      <w:r w:rsidR="000371FB" w:rsidRPr="006545AD">
        <w:rPr>
          <w:rFonts w:ascii="Times New Roman" w:eastAsia="Times New Roman" w:hAnsi="Times New Roman" w:cs="Times New Roman"/>
          <w:sz w:val="28"/>
          <w:szCs w:val="28"/>
        </w:rPr>
        <w:t>.</w:t>
      </w:r>
    </w:p>
    <w:p w14:paraId="204A739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63414A89" w14:textId="17DE8968"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Chủ trì: Bộ </w:t>
      </w:r>
      <w:r w:rsidR="00574BDA" w:rsidRPr="006545AD">
        <w:rPr>
          <w:rFonts w:ascii="Times New Roman" w:eastAsia="Times New Roman" w:hAnsi="Times New Roman" w:cs="Times New Roman"/>
          <w:sz w:val="28"/>
          <w:szCs w:val="28"/>
        </w:rPr>
        <w:t>Tài nguyên</w:t>
      </w:r>
      <w:r w:rsidR="000B3ABE" w:rsidRPr="006545AD">
        <w:rPr>
          <w:rFonts w:ascii="Times New Roman" w:eastAsia="Times New Roman" w:hAnsi="Times New Roman" w:cs="Times New Roman"/>
          <w:sz w:val="28"/>
          <w:szCs w:val="28"/>
        </w:rPr>
        <w:t xml:space="preserve"> và</w:t>
      </w:r>
      <w:r w:rsidR="00574BDA" w:rsidRPr="006545AD">
        <w:rPr>
          <w:rFonts w:ascii="Times New Roman" w:eastAsia="Times New Roman" w:hAnsi="Times New Roman" w:cs="Times New Roman"/>
          <w:sz w:val="28"/>
          <w:szCs w:val="28"/>
        </w:rPr>
        <w:t xml:space="preserve"> Môi trường</w:t>
      </w:r>
      <w:r w:rsidRPr="006545AD">
        <w:rPr>
          <w:rFonts w:ascii="Times New Roman" w:eastAsia="Times New Roman" w:hAnsi="Times New Roman" w:cs="Times New Roman"/>
          <w:sz w:val="28"/>
          <w:szCs w:val="28"/>
        </w:rPr>
        <w:t>;</w:t>
      </w:r>
    </w:p>
    <w:p w14:paraId="5AD54C1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pacing w:val="-4"/>
          <w:sz w:val="28"/>
          <w:szCs w:val="28"/>
        </w:rPr>
        <w:t>- Phối hợp: Bộ Công thương; Bộ Y tế (cung cấp chất thải độc hại ngành Y tế).</w:t>
      </w:r>
    </w:p>
    <w:p w14:paraId="43D45ABB" w14:textId="028DEC7D" w:rsidR="00F408D5" w:rsidRPr="006545AD" w:rsidRDefault="00F119DC"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836A4E" w:rsidRPr="006545AD">
        <w:rPr>
          <w:rFonts w:ascii="Times New Roman" w:eastAsia="Times New Roman" w:hAnsi="Times New Roman" w:cs="Times New Roman"/>
          <w:b/>
          <w:sz w:val="28"/>
          <w:szCs w:val="28"/>
        </w:rPr>
        <w:t>3.</w:t>
      </w:r>
      <w:r w:rsidR="007B70E9" w:rsidRPr="006545AD">
        <w:rPr>
          <w:rFonts w:ascii="Times New Roman" w:eastAsia="Times New Roman" w:hAnsi="Times New Roman" w:cs="Times New Roman"/>
          <w:b/>
          <w:sz w:val="28"/>
          <w:szCs w:val="28"/>
        </w:rPr>
        <w:t>4</w:t>
      </w:r>
      <w:r w:rsidR="006E7C70" w:rsidRPr="006545AD">
        <w:rPr>
          <w:rFonts w:ascii="Times New Roman" w:eastAsia="Times New Roman" w:hAnsi="Times New Roman" w:cs="Times New Roman"/>
          <w:b/>
          <w:sz w:val="28"/>
          <w:szCs w:val="28"/>
        </w:rPr>
        <w:t>. Tỷ lệ nước thải đô thị được thu gom và xử lý đạt quy chuẩn kỹ thuật môi trường</w:t>
      </w:r>
    </w:p>
    <w:p w14:paraId="44A98C01" w14:textId="77777777" w:rsidR="00F408D5" w:rsidRPr="006545AD" w:rsidRDefault="00F119DC"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76CD48F" w14:textId="77777777" w:rsidR="00F408D5" w:rsidRPr="006545AD" w:rsidRDefault="000371FB"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Tỷ lệ nước thải đô thị được thu gom, xử lý đạt quy chuẩn kỹ thuật môi trường là tỷ lệ phần trăm tổng khối lượng nước thải đô thị được xử lý đạt quy chuẩn kỹ thuật môi trường trên tổng khối lượng nước thải đô thị phát sinh.</w:t>
      </w:r>
    </w:p>
    <w:p w14:paraId="652355C0" w14:textId="77777777" w:rsidR="00F408D5" w:rsidRPr="006545AD" w:rsidRDefault="000371FB"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Nước thải là nước đã qua sử dụng và được xả thải ra môi trường xung quanh. Xử lý nước thải là quá trình sử dụng các giải pháp công nghệ, kỹ thuật làm giảm, loại bỏ, tiêu hủy các thành phần có hại trong nước thải, đảm bảo nước thải ra môi trường đạt quy chuẩn kỹ thuật về chất lượng môi trường.</w:t>
      </w:r>
    </w:p>
    <w:p w14:paraId="15CA33F0" w14:textId="6A20085C" w:rsidR="000371FB" w:rsidRPr="006545AD" w:rsidRDefault="000371FB" w:rsidP="005725BC">
      <w:pPr>
        <w:spacing w:before="12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B81FE8" w:rsidRPr="006545AD">
        <w:rPr>
          <w:rFonts w:ascii="Times New Roman" w:eastAsia="Times New Roman" w:hAnsi="Times New Roman" w:cs="Times New Roman"/>
          <w:sz w:val="28"/>
          <w:szCs w:val="28"/>
        </w:rPr>
        <w:t>C</w:t>
      </w:r>
      <w:r w:rsidR="006E7C70" w:rsidRPr="006545AD">
        <w:rPr>
          <w:rFonts w:ascii="Times New Roman" w:eastAsia="Times New Roman" w:hAnsi="Times New Roman" w:cs="Times New Roman"/>
          <w:sz w:val="28"/>
          <w:szCs w:val="28"/>
        </w:rPr>
        <w:t xml:space="preserve">ông thức tính: </w:t>
      </w:r>
    </w:p>
    <w:tbl>
      <w:tblPr>
        <w:tblStyle w:val="15"/>
        <w:tblW w:w="5000" w:type="pct"/>
        <w:tblBorders>
          <w:top w:val="nil"/>
          <w:left w:val="nil"/>
          <w:bottom w:val="nil"/>
          <w:right w:val="nil"/>
          <w:insideH w:val="nil"/>
          <w:insideV w:val="nil"/>
        </w:tblBorders>
        <w:tblLook w:val="0600" w:firstRow="0" w:lastRow="0" w:firstColumn="0" w:lastColumn="0" w:noHBand="1" w:noVBand="1"/>
      </w:tblPr>
      <w:tblGrid>
        <w:gridCol w:w="3146"/>
        <w:gridCol w:w="497"/>
        <w:gridCol w:w="4560"/>
        <w:gridCol w:w="869"/>
      </w:tblGrid>
      <w:tr w:rsidR="000371FB" w:rsidRPr="006545AD" w14:paraId="485D91C0" w14:textId="77777777" w:rsidTr="005725BC">
        <w:trPr>
          <w:trHeight w:val="1132"/>
        </w:trPr>
        <w:tc>
          <w:tcPr>
            <w:tcW w:w="1734" w:type="pct"/>
            <w:vMerge w:val="restart"/>
            <w:tcBorders>
              <w:top w:val="nil"/>
              <w:left w:val="nil"/>
              <w:bottom w:val="nil"/>
              <w:right w:val="nil"/>
            </w:tcBorders>
            <w:tcMar>
              <w:top w:w="100" w:type="dxa"/>
              <w:left w:w="100" w:type="dxa"/>
              <w:bottom w:w="100" w:type="dxa"/>
              <w:right w:w="100" w:type="dxa"/>
            </w:tcMar>
            <w:vAlign w:val="center"/>
          </w:tcPr>
          <w:p w14:paraId="09373184" w14:textId="77777777" w:rsidR="000371FB" w:rsidRPr="006545AD" w:rsidRDefault="000371FB"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nước thải đô thị được thu gom, xử lý đạt quy chuẩn kỹ thuật môi trường (%)</w:t>
            </w:r>
          </w:p>
        </w:tc>
        <w:tc>
          <w:tcPr>
            <w:tcW w:w="274" w:type="pct"/>
            <w:vMerge w:val="restart"/>
            <w:tcBorders>
              <w:top w:val="nil"/>
              <w:left w:val="nil"/>
              <w:bottom w:val="nil"/>
              <w:right w:val="nil"/>
            </w:tcBorders>
            <w:tcMar>
              <w:top w:w="100" w:type="dxa"/>
              <w:left w:w="100" w:type="dxa"/>
              <w:bottom w:w="100" w:type="dxa"/>
              <w:right w:w="100" w:type="dxa"/>
            </w:tcMar>
            <w:vAlign w:val="center"/>
          </w:tcPr>
          <w:p w14:paraId="257358B1" w14:textId="77777777" w:rsidR="000371FB" w:rsidRPr="006545AD" w:rsidRDefault="000371FB"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513" w:type="pct"/>
            <w:tcBorders>
              <w:top w:val="nil"/>
              <w:left w:val="nil"/>
              <w:bottom w:val="single" w:sz="8" w:space="0" w:color="000000"/>
              <w:right w:val="nil"/>
            </w:tcBorders>
            <w:tcMar>
              <w:top w:w="100" w:type="dxa"/>
              <w:left w:w="100" w:type="dxa"/>
              <w:bottom w:w="100" w:type="dxa"/>
              <w:right w:w="100" w:type="dxa"/>
            </w:tcMar>
            <w:vAlign w:val="center"/>
          </w:tcPr>
          <w:p w14:paraId="551E3991" w14:textId="77777777" w:rsidR="000371FB" w:rsidRPr="006545AD" w:rsidRDefault="000371FB"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nước thải đô thị được thu gom, xử lý đạt q</w:t>
            </w:r>
            <w:r w:rsidR="00CB5D5D" w:rsidRPr="006545AD">
              <w:rPr>
                <w:rFonts w:ascii="Times New Roman" w:eastAsia="Times New Roman" w:hAnsi="Times New Roman" w:cs="Times New Roman"/>
                <w:sz w:val="28"/>
                <w:szCs w:val="28"/>
              </w:rPr>
              <w:t>uy chuẩn kỹ thuật môi trường (m</w:t>
            </w:r>
            <w:r w:rsidR="00CB5D5D" w:rsidRPr="006545AD">
              <w:rPr>
                <w:rFonts w:ascii="Times New Roman" w:eastAsia="Times New Roman" w:hAnsi="Times New Roman" w:cs="Times New Roman"/>
                <w:sz w:val="28"/>
                <w:szCs w:val="28"/>
                <w:vertAlign w:val="superscript"/>
              </w:rPr>
              <w:t>3</w:t>
            </w:r>
            <w:r w:rsidRPr="006545AD">
              <w:rPr>
                <w:rFonts w:ascii="Times New Roman" w:eastAsia="Times New Roman" w:hAnsi="Times New Roman" w:cs="Times New Roman"/>
                <w:sz w:val="28"/>
                <w:szCs w:val="28"/>
              </w:rPr>
              <w:t>)</w:t>
            </w:r>
          </w:p>
        </w:tc>
        <w:tc>
          <w:tcPr>
            <w:tcW w:w="479" w:type="pct"/>
            <w:vMerge w:val="restart"/>
            <w:tcBorders>
              <w:top w:val="nil"/>
              <w:left w:val="nil"/>
              <w:bottom w:val="nil"/>
              <w:right w:val="nil"/>
            </w:tcBorders>
            <w:tcMar>
              <w:top w:w="100" w:type="dxa"/>
              <w:left w:w="100" w:type="dxa"/>
              <w:bottom w:w="100" w:type="dxa"/>
              <w:right w:w="100" w:type="dxa"/>
            </w:tcMar>
            <w:vAlign w:val="center"/>
          </w:tcPr>
          <w:p w14:paraId="03936385" w14:textId="69EDAEED" w:rsidR="000371FB" w:rsidRPr="006545AD" w:rsidRDefault="002B3F61" w:rsidP="005B04E9">
            <w:pPr>
              <w:spacing w:before="60" w:after="60" w:line="360" w:lineRule="exact"/>
              <w:jc w:val="center"/>
              <w:rPr>
                <w:rFonts w:ascii="Times New Roman" w:eastAsia="Times New Roman" w:hAnsi="Times New Roman" w:cs="Times New Roman"/>
                <w:b/>
                <w:sz w:val="28"/>
                <w:szCs w:val="28"/>
              </w:rPr>
            </w:pPr>
            <w:r w:rsidRPr="006545AD">
              <w:rPr>
                <w:sz w:val="26"/>
                <w:szCs w:val="26"/>
              </w:rPr>
              <w:t>×</w:t>
            </w:r>
            <w:r w:rsidR="000371FB" w:rsidRPr="006545AD">
              <w:rPr>
                <w:rFonts w:ascii="Times New Roman" w:eastAsia="Times New Roman" w:hAnsi="Times New Roman" w:cs="Times New Roman"/>
                <w:sz w:val="28"/>
                <w:szCs w:val="28"/>
              </w:rPr>
              <w:t xml:space="preserve"> 100</w:t>
            </w:r>
          </w:p>
        </w:tc>
      </w:tr>
      <w:tr w:rsidR="000371FB" w:rsidRPr="006545AD" w14:paraId="67A4EBBB" w14:textId="77777777" w:rsidTr="005725BC">
        <w:trPr>
          <w:trHeight w:val="1010"/>
        </w:trPr>
        <w:tc>
          <w:tcPr>
            <w:tcW w:w="1734" w:type="pct"/>
            <w:vMerge/>
            <w:tcBorders>
              <w:bottom w:val="nil"/>
              <w:right w:val="nil"/>
            </w:tcBorders>
            <w:shd w:val="clear" w:color="auto" w:fill="auto"/>
            <w:tcMar>
              <w:top w:w="100" w:type="dxa"/>
              <w:left w:w="100" w:type="dxa"/>
              <w:bottom w:w="100" w:type="dxa"/>
              <w:right w:w="100" w:type="dxa"/>
            </w:tcMar>
            <w:vAlign w:val="center"/>
          </w:tcPr>
          <w:p w14:paraId="48AD4193" w14:textId="77777777" w:rsidR="000371FB" w:rsidRPr="006545AD" w:rsidRDefault="000371FB" w:rsidP="005B04E9">
            <w:pPr>
              <w:spacing w:before="60" w:after="60" w:line="360" w:lineRule="exact"/>
              <w:jc w:val="both"/>
              <w:rPr>
                <w:rFonts w:ascii="Times New Roman" w:eastAsia="Times New Roman" w:hAnsi="Times New Roman" w:cs="Times New Roman"/>
                <w:b/>
                <w:sz w:val="28"/>
                <w:szCs w:val="28"/>
              </w:rPr>
            </w:pPr>
          </w:p>
        </w:tc>
        <w:tc>
          <w:tcPr>
            <w:tcW w:w="274" w:type="pct"/>
            <w:vMerge/>
            <w:tcBorders>
              <w:bottom w:val="nil"/>
              <w:right w:val="nil"/>
            </w:tcBorders>
            <w:shd w:val="clear" w:color="auto" w:fill="auto"/>
            <w:tcMar>
              <w:top w:w="100" w:type="dxa"/>
              <w:left w:w="100" w:type="dxa"/>
              <w:bottom w:w="100" w:type="dxa"/>
              <w:right w:w="100" w:type="dxa"/>
            </w:tcMar>
            <w:vAlign w:val="center"/>
          </w:tcPr>
          <w:p w14:paraId="39B9818A" w14:textId="77777777" w:rsidR="000371FB" w:rsidRPr="006545AD" w:rsidRDefault="000371FB" w:rsidP="005B04E9">
            <w:pPr>
              <w:spacing w:before="60" w:after="60" w:line="360" w:lineRule="exact"/>
              <w:jc w:val="both"/>
              <w:rPr>
                <w:rFonts w:ascii="Times New Roman" w:eastAsia="Times New Roman" w:hAnsi="Times New Roman" w:cs="Times New Roman"/>
                <w:b/>
                <w:sz w:val="28"/>
                <w:szCs w:val="28"/>
              </w:rPr>
            </w:pPr>
          </w:p>
        </w:tc>
        <w:tc>
          <w:tcPr>
            <w:tcW w:w="2513" w:type="pct"/>
            <w:tcBorders>
              <w:top w:val="nil"/>
              <w:left w:val="nil"/>
              <w:bottom w:val="nil"/>
              <w:right w:val="nil"/>
            </w:tcBorders>
            <w:shd w:val="clear" w:color="auto" w:fill="auto"/>
            <w:tcMar>
              <w:top w:w="100" w:type="dxa"/>
              <w:left w:w="100" w:type="dxa"/>
              <w:bottom w:w="100" w:type="dxa"/>
              <w:right w:w="100" w:type="dxa"/>
            </w:tcMar>
            <w:vAlign w:val="center"/>
          </w:tcPr>
          <w:p w14:paraId="1CAB5C82" w14:textId="77777777" w:rsidR="000371FB" w:rsidRPr="006545AD" w:rsidRDefault="000371FB"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nước thải đô thị phát sinh (</w:t>
            </w:r>
            <w:r w:rsidR="00CB5D5D" w:rsidRPr="006545AD">
              <w:rPr>
                <w:rFonts w:ascii="Times New Roman" w:eastAsia="Times New Roman" w:hAnsi="Times New Roman" w:cs="Times New Roman"/>
                <w:sz w:val="28"/>
                <w:szCs w:val="28"/>
              </w:rPr>
              <w:t>m</w:t>
            </w:r>
            <w:r w:rsidR="00CB5D5D" w:rsidRPr="006545AD">
              <w:rPr>
                <w:rFonts w:ascii="Times New Roman" w:eastAsia="Times New Roman" w:hAnsi="Times New Roman" w:cs="Times New Roman"/>
                <w:sz w:val="28"/>
                <w:szCs w:val="28"/>
                <w:vertAlign w:val="superscript"/>
              </w:rPr>
              <w:t>3</w:t>
            </w:r>
            <w:r w:rsidRPr="006545AD">
              <w:rPr>
                <w:rFonts w:ascii="Times New Roman" w:eastAsia="Times New Roman" w:hAnsi="Times New Roman" w:cs="Times New Roman"/>
                <w:sz w:val="28"/>
                <w:szCs w:val="28"/>
              </w:rPr>
              <w:t>)</w:t>
            </w:r>
          </w:p>
        </w:tc>
        <w:tc>
          <w:tcPr>
            <w:tcW w:w="479" w:type="pct"/>
            <w:vMerge/>
            <w:tcBorders>
              <w:bottom w:val="nil"/>
              <w:right w:val="nil"/>
            </w:tcBorders>
            <w:shd w:val="clear" w:color="auto" w:fill="auto"/>
            <w:tcMar>
              <w:top w:w="100" w:type="dxa"/>
              <w:left w:w="100" w:type="dxa"/>
              <w:bottom w:w="100" w:type="dxa"/>
              <w:right w:w="100" w:type="dxa"/>
            </w:tcMar>
            <w:vAlign w:val="center"/>
          </w:tcPr>
          <w:p w14:paraId="7508A4BD" w14:textId="77777777" w:rsidR="000371FB" w:rsidRPr="006545AD" w:rsidRDefault="000371FB" w:rsidP="005B04E9">
            <w:pPr>
              <w:spacing w:before="60" w:after="60" w:line="360" w:lineRule="exact"/>
              <w:jc w:val="both"/>
              <w:rPr>
                <w:rFonts w:ascii="Times New Roman" w:eastAsia="Times New Roman" w:hAnsi="Times New Roman" w:cs="Times New Roman"/>
                <w:b/>
                <w:sz w:val="28"/>
                <w:szCs w:val="28"/>
              </w:rPr>
            </w:pPr>
          </w:p>
        </w:tc>
      </w:tr>
    </w:tbl>
    <w:p w14:paraId="3CF4558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Trong đó:</w:t>
      </w:r>
    </w:p>
    <w:p w14:paraId="0482DC4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Nước thải đô thị được thu gom, xử lý đạt quy chuẩn kỹ thuật môi trường là nước thải được xả ra từ các hệ thống xử lý nước thải đô thị tập trung đáp ứng quy chuẩn kỹ thuật về nước thải và nước thải từ các công trình, thiết bị xử lý nước thải tại chỗ của tổ chức, hộ gia đình trong đô thị đáp ứng yêu cầu về bảo vệ môi trường.</w:t>
      </w:r>
    </w:p>
    <w:p w14:paraId="2B49C31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khối lượng nước thải đô thị phát sinh được tính trên 80% tổng công suất cấp nước sạch cho đô thị.</w:t>
      </w:r>
    </w:p>
    <w:p w14:paraId="6306DD21" w14:textId="0C91860F" w:rsidR="008A69D5" w:rsidRPr="006545AD" w:rsidRDefault="00DC142B"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Ghi chú: "Đối với đơn vị sản xuất đặc thù như rượu, bia, nước giải khát … thì mẫu số là lượng nước thải ra được đo theo đồng hồ trước khi đấu vào mạng lưới thu gom nước thải". Trường hợp chưa có đồng hồ đo lượng nước thải thì mẫu số được xác định bằng tổng lượng nước cấp trừ đi lượng nước dành cho sản xuất theo chỉ tiêu tiêu thụ nước trên một sản phẩm. </w:t>
      </w:r>
    </w:p>
    <w:p w14:paraId="47CE631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53BCF88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Đô thị (</w:t>
      </w:r>
      <w:r w:rsidR="00C52321" w:rsidRPr="006545AD">
        <w:rPr>
          <w:rFonts w:ascii="Times New Roman" w:eastAsia="Times New Roman" w:hAnsi="Times New Roman" w:cs="Times New Roman"/>
          <w:sz w:val="28"/>
          <w:szCs w:val="28"/>
        </w:rPr>
        <w:t>đô thị loại III, II, I và đô thị đặc biệt</w:t>
      </w:r>
      <w:r w:rsidRPr="006545AD">
        <w:rPr>
          <w:rFonts w:ascii="Times New Roman" w:eastAsia="Times New Roman" w:hAnsi="Times New Roman" w:cs="Times New Roman"/>
          <w:sz w:val="28"/>
          <w:szCs w:val="28"/>
        </w:rPr>
        <w:t>)</w:t>
      </w:r>
      <w:r w:rsidR="00CB5D5D" w:rsidRPr="006545AD">
        <w:rPr>
          <w:rFonts w:ascii="Times New Roman" w:eastAsia="Times New Roman" w:hAnsi="Times New Roman" w:cs="Times New Roman"/>
          <w:sz w:val="28"/>
          <w:szCs w:val="28"/>
        </w:rPr>
        <w:t>;</w:t>
      </w:r>
    </w:p>
    <w:p w14:paraId="1396EDD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 thành phố trực thuộc </w:t>
      </w:r>
      <w:r w:rsidR="00E9456D" w:rsidRPr="006545AD">
        <w:rPr>
          <w:rFonts w:ascii="Times New Roman" w:eastAsia="Times New Roman" w:hAnsi="Times New Roman" w:cs="Times New Roman"/>
          <w:sz w:val="28"/>
          <w:szCs w:val="28"/>
        </w:rPr>
        <w:t>Trung ương</w:t>
      </w:r>
      <w:r w:rsidR="00CB5D5D" w:rsidRPr="006545AD">
        <w:rPr>
          <w:rFonts w:ascii="Times New Roman" w:eastAsia="Times New Roman" w:hAnsi="Times New Roman" w:cs="Times New Roman"/>
          <w:sz w:val="28"/>
          <w:szCs w:val="28"/>
        </w:rPr>
        <w:t>.</w:t>
      </w:r>
    </w:p>
    <w:p w14:paraId="2030388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 xml:space="preserve">3. Kỳ công bố: </w:t>
      </w:r>
      <w:r w:rsidRPr="006545AD">
        <w:rPr>
          <w:rFonts w:ascii="Times New Roman" w:eastAsia="Times New Roman" w:hAnsi="Times New Roman" w:cs="Times New Roman"/>
          <w:sz w:val="28"/>
          <w:szCs w:val="28"/>
        </w:rPr>
        <w:t>Năm</w:t>
      </w:r>
      <w:r w:rsidR="00CB5D5D" w:rsidRPr="006545AD">
        <w:rPr>
          <w:rFonts w:ascii="Times New Roman" w:eastAsia="Times New Roman" w:hAnsi="Times New Roman" w:cs="Times New Roman"/>
          <w:sz w:val="28"/>
          <w:szCs w:val="28"/>
        </w:rPr>
        <w:t>.</w:t>
      </w:r>
    </w:p>
    <w:p w14:paraId="74F5C64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13C4317E" w14:textId="22113F70"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Chế độ báo cáo thống kê </w:t>
      </w:r>
      <w:r w:rsidR="008605DF" w:rsidRPr="006545AD">
        <w:rPr>
          <w:rFonts w:ascii="Times New Roman" w:eastAsia="Times New Roman" w:hAnsi="Times New Roman" w:cs="Times New Roman"/>
          <w:sz w:val="28"/>
          <w:szCs w:val="28"/>
        </w:rPr>
        <w:t>ngành tài nguyên và môi trường</w:t>
      </w:r>
      <w:r w:rsidRPr="006545AD">
        <w:rPr>
          <w:rFonts w:ascii="Times New Roman" w:eastAsia="Times New Roman" w:hAnsi="Times New Roman" w:cs="Times New Roman"/>
          <w:sz w:val="28"/>
          <w:szCs w:val="28"/>
        </w:rPr>
        <w:t>;</w:t>
      </w:r>
    </w:p>
    <w:p w14:paraId="68AB5BF4" w14:textId="0ABB6C6E"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Chế độ báo cáo thống kê </w:t>
      </w:r>
      <w:r w:rsidR="008605DF" w:rsidRPr="006545AD">
        <w:rPr>
          <w:rFonts w:ascii="Times New Roman" w:eastAsia="Times New Roman" w:hAnsi="Times New Roman" w:cs="Times New Roman"/>
          <w:sz w:val="28"/>
          <w:szCs w:val="28"/>
        </w:rPr>
        <w:t>ngành x</w:t>
      </w:r>
      <w:r w:rsidRPr="006545AD">
        <w:rPr>
          <w:rFonts w:ascii="Times New Roman" w:eastAsia="Times New Roman" w:hAnsi="Times New Roman" w:cs="Times New Roman"/>
          <w:sz w:val="28"/>
          <w:szCs w:val="28"/>
        </w:rPr>
        <w:t>ây dựng.</w:t>
      </w:r>
    </w:p>
    <w:p w14:paraId="10F38DC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6A93324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Xây dựng</w:t>
      </w:r>
      <w:r w:rsidR="00CB5D5D" w:rsidRPr="006545AD">
        <w:rPr>
          <w:rFonts w:ascii="Times New Roman" w:eastAsia="Times New Roman" w:hAnsi="Times New Roman" w:cs="Times New Roman"/>
          <w:sz w:val="28"/>
          <w:szCs w:val="28"/>
        </w:rPr>
        <w:t>;</w:t>
      </w:r>
    </w:p>
    <w:p w14:paraId="2BFDD5D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Tài Nguyên và Môi trường</w:t>
      </w:r>
      <w:r w:rsidR="00CB5D5D" w:rsidRPr="006545AD">
        <w:rPr>
          <w:rFonts w:ascii="Times New Roman" w:eastAsia="Times New Roman" w:hAnsi="Times New Roman" w:cs="Times New Roman"/>
          <w:sz w:val="28"/>
          <w:szCs w:val="28"/>
        </w:rPr>
        <w:t>.</w:t>
      </w:r>
    </w:p>
    <w:p w14:paraId="6A86EBA4" w14:textId="3F5C7040" w:rsidR="008851BE" w:rsidRPr="006545AD" w:rsidRDefault="006229F2"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8851BE" w:rsidRPr="006545AD">
        <w:rPr>
          <w:rFonts w:ascii="Times New Roman" w:eastAsia="Times New Roman" w:hAnsi="Times New Roman" w:cs="Times New Roman"/>
          <w:b/>
          <w:sz w:val="28"/>
          <w:szCs w:val="28"/>
        </w:rPr>
        <w:t>3.</w:t>
      </w:r>
      <w:r w:rsidR="00271007" w:rsidRPr="006545AD">
        <w:rPr>
          <w:rFonts w:ascii="Times New Roman" w:eastAsia="Times New Roman" w:hAnsi="Times New Roman" w:cs="Times New Roman"/>
          <w:b/>
          <w:sz w:val="28"/>
          <w:szCs w:val="28"/>
        </w:rPr>
        <w:t>5</w:t>
      </w:r>
      <w:r w:rsidR="008851BE" w:rsidRPr="006545AD">
        <w:rPr>
          <w:rFonts w:ascii="Times New Roman" w:eastAsia="Times New Roman" w:hAnsi="Times New Roman" w:cs="Times New Roman"/>
          <w:b/>
          <w:sz w:val="28"/>
          <w:szCs w:val="28"/>
        </w:rPr>
        <w:t>. Tỷ lệ xã đạt tiêu chí về môi trường</w:t>
      </w:r>
    </w:p>
    <w:p w14:paraId="550ADB67"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b/>
          <w:sz w:val="28"/>
          <w:szCs w:val="28"/>
        </w:rPr>
        <w:t>1. Khái niệm, phương pháp tính</w:t>
      </w:r>
    </w:p>
    <w:p w14:paraId="1C8FDCAE"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Tỷ lệ xã đạt tiêu chí về môi trường là tỷ lệ phần trăm giữa số xã đạt tiêu chí về môi trường so với tổng số xã trên địa bàn.</w:t>
      </w:r>
    </w:p>
    <w:p w14:paraId="5611C604" w14:textId="75801752"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Xã đạt tiêu chí về môi trường là xã đạt được tiêu chí thứ 17 trong Bộ tiêu chí quốc gia về xã nông thôn mới và Bộ tiêu chí quốc gia về xã nông thôn mới nâng cao giai đoạn 2021-2025 được ban hành theo </w:t>
      </w:r>
      <w:r w:rsidR="001740DD" w:rsidRPr="006545AD">
        <w:rPr>
          <w:rFonts w:ascii="Times New Roman" w:eastAsia="Times New Roman" w:hAnsi="Times New Roman" w:cs="Times New Roman"/>
          <w:sz w:val="28"/>
          <w:szCs w:val="28"/>
        </w:rPr>
        <w:t xml:space="preserve">Quyết </w:t>
      </w:r>
      <w:r w:rsidRPr="006545AD">
        <w:rPr>
          <w:rFonts w:ascii="Times New Roman" w:eastAsia="Times New Roman" w:hAnsi="Times New Roman" w:cs="Times New Roman"/>
          <w:sz w:val="28"/>
          <w:szCs w:val="28"/>
        </w:rPr>
        <w:t>định số 318/QĐ-TTg ngày 08/3/2022 của Thủ tướng Chính phủ.</w:t>
      </w:r>
    </w:p>
    <w:p w14:paraId="02E67A3F"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Nội dung của tiêu chí về môi trường:</w:t>
      </w:r>
    </w:p>
    <w:p w14:paraId="5EEC80DA"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hộ được sử dụng nước sạch theo quy định chuẩn;</w:t>
      </w:r>
    </w:p>
    <w:p w14:paraId="32180D5B"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cơ sở sản xuất - kinh doanh, nuôi trồng thủy sản, làng nghề đảm bảo quy định về bảo vệ môi trường;</w:t>
      </w:r>
    </w:p>
    <w:p w14:paraId="5FC52496" w14:textId="533B690A"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 Cảnh quan, không gian xanh </w:t>
      </w:r>
      <w:r w:rsidR="001740DD" w:rsidRPr="006545AD">
        <w:rPr>
          <w:rFonts w:ascii="Times New Roman" w:eastAsia="Times New Roman" w:hAnsi="Times New Roman" w:cs="Times New Roman"/>
          <w:sz w:val="28"/>
          <w:szCs w:val="28"/>
          <w:lang w:val="vi-VN"/>
        </w:rPr>
        <w:t>-</w:t>
      </w:r>
      <w:r w:rsidR="001740DD"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sạch, đẹp, an toàn; không để xảy ra tồn đọng nước thải sinh hoạt tại các khu dân cư tập trung;</w:t>
      </w:r>
    </w:p>
    <w:p w14:paraId="2919881A"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Đất cây xanh sử dụng công cộng tại điểm dân cư nông thôn;</w:t>
      </w:r>
    </w:p>
    <w:p w14:paraId="53871FB7"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Mai táng, hỏa táng phù hợp với quy định và theo quy hoạch;</w:t>
      </w:r>
    </w:p>
    <w:p w14:paraId="01D89A42"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chất thải rắn sinh hoạt và chất thải rắn không nguy hại trên địa bàn được thu gom, xử lý theo quy định;</w:t>
      </w:r>
    </w:p>
    <w:p w14:paraId="6DA2833B"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bao gói thuốc bảo vệ thực vật sau sử dụng và chất thải rắn y tế được thu gom, xử lý đáp ứng yêu cầu về bảo vệ môi trường;</w:t>
      </w:r>
    </w:p>
    <w:p w14:paraId="0E91638D"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hộ có nhà tiêu, nhà tắm, thiết bị chứa nước sinh hoạt hợp vệ sinh và đảm bảo 3 sạch;</w:t>
      </w:r>
    </w:p>
    <w:p w14:paraId="7AA4DF07"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cơ sở chăn nuôi đảm bảo các quy định về vệ sinh thú y, chăn nuôi và bảo vệ môi trường;</w:t>
      </w:r>
    </w:p>
    <w:p w14:paraId="220D0256"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hộ gia đình và cơ sở sản xuất, kinh doanh thực phẩm tuân thủ các quy định về đảm bảo an toàn thực phẩm;</w:t>
      </w:r>
    </w:p>
    <w:p w14:paraId="681F5B35"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hộ gia đình thực hiện phân loại rác thải rắn tại nguồn;</w:t>
      </w:r>
    </w:p>
    <w:p w14:paraId="15FAE26A"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Tỷ lệ chất thải nhựa phát sinh trên địa bàn được thu gom, tái sử dụng, tái chế, xử lý theo quy định;</w:t>
      </w:r>
    </w:p>
    <w:p w14:paraId="54CCAE09"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t>Mức độ thực hiện của từng nội dung được quy định cụ thể.</w:t>
      </w:r>
    </w:p>
    <w:p w14:paraId="4B3D6B95"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Công thức tính:</w:t>
      </w:r>
    </w:p>
    <w:tbl>
      <w:tblPr>
        <w:tblStyle w:val="15"/>
        <w:tblW w:w="5000" w:type="pct"/>
        <w:jc w:val="center"/>
        <w:tblBorders>
          <w:top w:val="nil"/>
          <w:left w:val="nil"/>
          <w:bottom w:val="nil"/>
          <w:right w:val="nil"/>
          <w:insideH w:val="nil"/>
          <w:insideV w:val="nil"/>
        </w:tblBorders>
        <w:tblLook w:val="0600" w:firstRow="0" w:lastRow="0" w:firstColumn="0" w:lastColumn="0" w:noHBand="1" w:noVBand="1"/>
      </w:tblPr>
      <w:tblGrid>
        <w:gridCol w:w="2992"/>
        <w:gridCol w:w="650"/>
        <w:gridCol w:w="4561"/>
        <w:gridCol w:w="869"/>
      </w:tblGrid>
      <w:tr w:rsidR="008851BE" w:rsidRPr="006545AD" w14:paraId="00A053B7" w14:textId="77777777" w:rsidTr="00350DB3">
        <w:trPr>
          <w:trHeight w:val="691"/>
          <w:jc w:val="center"/>
        </w:trPr>
        <w:tc>
          <w:tcPr>
            <w:tcW w:w="1649" w:type="pct"/>
            <w:vMerge w:val="restart"/>
            <w:tcBorders>
              <w:top w:val="nil"/>
              <w:left w:val="nil"/>
              <w:bottom w:val="nil"/>
              <w:right w:val="nil"/>
            </w:tcBorders>
            <w:tcMar>
              <w:top w:w="100" w:type="dxa"/>
              <w:left w:w="100" w:type="dxa"/>
              <w:bottom w:w="100" w:type="dxa"/>
              <w:right w:w="100" w:type="dxa"/>
            </w:tcMar>
            <w:vAlign w:val="center"/>
          </w:tcPr>
          <w:p w14:paraId="0E550494"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xã đạt tiêu chí về môi trường (%)</w:t>
            </w:r>
          </w:p>
        </w:tc>
        <w:tc>
          <w:tcPr>
            <w:tcW w:w="358" w:type="pct"/>
            <w:vMerge w:val="restart"/>
            <w:tcBorders>
              <w:top w:val="nil"/>
              <w:left w:val="nil"/>
              <w:bottom w:val="nil"/>
              <w:right w:val="nil"/>
            </w:tcBorders>
            <w:tcMar>
              <w:top w:w="100" w:type="dxa"/>
              <w:left w:w="100" w:type="dxa"/>
              <w:bottom w:w="100" w:type="dxa"/>
              <w:right w:w="100" w:type="dxa"/>
            </w:tcMar>
            <w:vAlign w:val="center"/>
          </w:tcPr>
          <w:p w14:paraId="6E9D663F"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514" w:type="pct"/>
            <w:tcBorders>
              <w:top w:val="nil"/>
              <w:left w:val="nil"/>
              <w:bottom w:val="single" w:sz="8" w:space="0" w:color="000000"/>
              <w:right w:val="nil"/>
            </w:tcBorders>
            <w:tcMar>
              <w:top w:w="100" w:type="dxa"/>
              <w:left w:w="100" w:type="dxa"/>
              <w:bottom w:w="100" w:type="dxa"/>
              <w:right w:w="100" w:type="dxa"/>
            </w:tcMar>
            <w:vAlign w:val="center"/>
          </w:tcPr>
          <w:p w14:paraId="27687FD7"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xã đạt tiêu chí về môi trường và an toàn thực phẩm trên địa bàn</w:t>
            </w:r>
          </w:p>
        </w:tc>
        <w:tc>
          <w:tcPr>
            <w:tcW w:w="479" w:type="pct"/>
            <w:vMerge w:val="restart"/>
            <w:tcBorders>
              <w:top w:val="nil"/>
              <w:left w:val="nil"/>
              <w:bottom w:val="nil"/>
              <w:right w:val="nil"/>
            </w:tcBorders>
            <w:tcMar>
              <w:top w:w="100" w:type="dxa"/>
              <w:left w:w="100" w:type="dxa"/>
              <w:bottom w:w="100" w:type="dxa"/>
              <w:right w:w="100" w:type="dxa"/>
            </w:tcMar>
            <w:vAlign w:val="center"/>
          </w:tcPr>
          <w:p w14:paraId="6EFD25CE" w14:textId="29397D80" w:rsidR="008851BE" w:rsidRPr="006545AD" w:rsidRDefault="002B3F61" w:rsidP="00350DB3">
            <w:pPr>
              <w:spacing w:before="60" w:after="60" w:line="360" w:lineRule="exact"/>
              <w:jc w:val="center"/>
              <w:rPr>
                <w:rFonts w:ascii="Times New Roman" w:eastAsia="Times New Roman" w:hAnsi="Times New Roman" w:cs="Times New Roman"/>
                <w:b/>
                <w:sz w:val="28"/>
                <w:szCs w:val="28"/>
              </w:rPr>
            </w:pPr>
            <w:r w:rsidRPr="006545AD">
              <w:rPr>
                <w:sz w:val="26"/>
                <w:szCs w:val="26"/>
              </w:rPr>
              <w:t>×</w:t>
            </w:r>
            <w:r w:rsidR="008851BE" w:rsidRPr="006545AD">
              <w:rPr>
                <w:rFonts w:ascii="Times New Roman" w:eastAsia="Times New Roman" w:hAnsi="Times New Roman" w:cs="Times New Roman"/>
                <w:sz w:val="28"/>
                <w:szCs w:val="28"/>
              </w:rPr>
              <w:t xml:space="preserve"> 100</w:t>
            </w:r>
          </w:p>
        </w:tc>
      </w:tr>
      <w:tr w:rsidR="008851BE" w:rsidRPr="006545AD" w14:paraId="1824B2E6" w14:textId="77777777" w:rsidTr="005725BC">
        <w:trPr>
          <w:trHeight w:val="707"/>
          <w:jc w:val="center"/>
        </w:trPr>
        <w:tc>
          <w:tcPr>
            <w:tcW w:w="1649" w:type="pct"/>
            <w:vMerge/>
            <w:tcBorders>
              <w:bottom w:val="nil"/>
              <w:right w:val="nil"/>
            </w:tcBorders>
            <w:shd w:val="clear" w:color="auto" w:fill="auto"/>
            <w:tcMar>
              <w:top w:w="100" w:type="dxa"/>
              <w:left w:w="100" w:type="dxa"/>
              <w:bottom w:w="100" w:type="dxa"/>
              <w:right w:w="100" w:type="dxa"/>
            </w:tcMar>
            <w:vAlign w:val="center"/>
          </w:tcPr>
          <w:p w14:paraId="21B83AF8" w14:textId="77777777" w:rsidR="008851BE" w:rsidRPr="006545AD" w:rsidRDefault="008851BE" w:rsidP="00350DB3">
            <w:pPr>
              <w:spacing w:before="60" w:after="60" w:line="360" w:lineRule="exact"/>
              <w:jc w:val="both"/>
              <w:rPr>
                <w:rFonts w:ascii="Times New Roman" w:eastAsia="Times New Roman" w:hAnsi="Times New Roman" w:cs="Times New Roman"/>
                <w:b/>
                <w:sz w:val="28"/>
                <w:szCs w:val="28"/>
              </w:rPr>
            </w:pPr>
          </w:p>
        </w:tc>
        <w:tc>
          <w:tcPr>
            <w:tcW w:w="358" w:type="pct"/>
            <w:vMerge/>
            <w:tcBorders>
              <w:bottom w:val="nil"/>
              <w:right w:val="nil"/>
            </w:tcBorders>
            <w:shd w:val="clear" w:color="auto" w:fill="auto"/>
            <w:tcMar>
              <w:top w:w="100" w:type="dxa"/>
              <w:left w:w="100" w:type="dxa"/>
              <w:bottom w:w="100" w:type="dxa"/>
              <w:right w:w="100" w:type="dxa"/>
            </w:tcMar>
            <w:vAlign w:val="center"/>
          </w:tcPr>
          <w:p w14:paraId="33BB0B5F" w14:textId="77777777" w:rsidR="008851BE" w:rsidRPr="006545AD" w:rsidRDefault="008851BE" w:rsidP="00350DB3">
            <w:pPr>
              <w:spacing w:before="60" w:after="60" w:line="360" w:lineRule="exact"/>
              <w:jc w:val="both"/>
              <w:rPr>
                <w:rFonts w:ascii="Times New Roman" w:eastAsia="Times New Roman" w:hAnsi="Times New Roman" w:cs="Times New Roman"/>
                <w:b/>
                <w:sz w:val="28"/>
                <w:szCs w:val="28"/>
              </w:rPr>
            </w:pPr>
          </w:p>
        </w:tc>
        <w:tc>
          <w:tcPr>
            <w:tcW w:w="2514" w:type="pct"/>
            <w:tcBorders>
              <w:top w:val="nil"/>
              <w:left w:val="nil"/>
              <w:bottom w:val="nil"/>
              <w:right w:val="nil"/>
            </w:tcBorders>
            <w:shd w:val="clear" w:color="auto" w:fill="auto"/>
            <w:tcMar>
              <w:top w:w="100" w:type="dxa"/>
              <w:left w:w="100" w:type="dxa"/>
              <w:bottom w:w="100" w:type="dxa"/>
              <w:right w:w="100" w:type="dxa"/>
            </w:tcMar>
            <w:vAlign w:val="center"/>
          </w:tcPr>
          <w:p w14:paraId="29B0013C"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số xã trên địa bàn</w:t>
            </w:r>
          </w:p>
        </w:tc>
        <w:tc>
          <w:tcPr>
            <w:tcW w:w="479" w:type="pct"/>
            <w:vMerge/>
            <w:tcBorders>
              <w:bottom w:val="nil"/>
              <w:right w:val="nil"/>
            </w:tcBorders>
            <w:shd w:val="clear" w:color="auto" w:fill="auto"/>
            <w:tcMar>
              <w:top w:w="100" w:type="dxa"/>
              <w:left w:w="100" w:type="dxa"/>
              <w:bottom w:w="100" w:type="dxa"/>
              <w:right w:w="100" w:type="dxa"/>
            </w:tcMar>
            <w:vAlign w:val="center"/>
          </w:tcPr>
          <w:p w14:paraId="602C2217" w14:textId="77777777" w:rsidR="008851BE" w:rsidRPr="006545AD" w:rsidRDefault="008851BE" w:rsidP="00350DB3">
            <w:pPr>
              <w:spacing w:before="60" w:after="60" w:line="360" w:lineRule="exact"/>
              <w:jc w:val="both"/>
              <w:rPr>
                <w:rFonts w:ascii="Times New Roman" w:eastAsia="Times New Roman" w:hAnsi="Times New Roman" w:cs="Times New Roman"/>
                <w:b/>
                <w:sz w:val="28"/>
                <w:szCs w:val="28"/>
              </w:rPr>
            </w:pPr>
          </w:p>
        </w:tc>
      </w:tr>
    </w:tbl>
    <w:p w14:paraId="563C8089"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2. Phân tổ chủ yếu: </w:t>
      </w:r>
      <w:r w:rsidRPr="006545AD">
        <w:rPr>
          <w:rFonts w:ascii="Times New Roman" w:eastAsia="Times New Roman" w:hAnsi="Times New Roman" w:cs="Times New Roman"/>
          <w:sz w:val="28"/>
          <w:szCs w:val="28"/>
        </w:rPr>
        <w:t>Tỉnh, thành phố trực thuộc Trung ương.</w:t>
      </w:r>
    </w:p>
    <w:p w14:paraId="6A1BD9E4"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Năm.</w:t>
      </w:r>
    </w:p>
    <w:p w14:paraId="4982DCAA"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Chế độ báo cáo thống kê ngành nông nghiệp và phát triển nông thôn.</w:t>
      </w:r>
    </w:p>
    <w:p w14:paraId="3C58419F"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5. Cơ quan chịu trách nhiệm thu thập, tổng hợp</w:t>
      </w:r>
      <w:r w:rsidRPr="006545AD">
        <w:rPr>
          <w:rFonts w:ascii="Times New Roman" w:eastAsia="Times New Roman" w:hAnsi="Times New Roman" w:cs="Times New Roman"/>
          <w:sz w:val="28"/>
          <w:szCs w:val="28"/>
        </w:rPr>
        <w:t>: Bộ Nông nghiệp và phát triển nông thôn.</w:t>
      </w:r>
    </w:p>
    <w:p w14:paraId="20DA3EC4" w14:textId="0B967FF2"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3.</w:t>
      </w:r>
      <w:r w:rsidR="00271007" w:rsidRPr="006545AD">
        <w:rPr>
          <w:rFonts w:ascii="Times New Roman" w:eastAsia="Times New Roman" w:hAnsi="Times New Roman" w:cs="Times New Roman"/>
          <w:b/>
          <w:sz w:val="28"/>
          <w:szCs w:val="28"/>
        </w:rPr>
        <w:t>6</w:t>
      </w:r>
      <w:r w:rsidRPr="006545AD">
        <w:rPr>
          <w:rFonts w:ascii="Times New Roman" w:eastAsia="Times New Roman" w:hAnsi="Times New Roman" w:cs="Times New Roman"/>
          <w:b/>
          <w:sz w:val="28"/>
          <w:szCs w:val="28"/>
        </w:rPr>
        <w:t>. Số khu và diện tích các khu bảo tồn thiên nhiên</w:t>
      </w:r>
    </w:p>
    <w:p w14:paraId="6FA69C0C"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65BD7710"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Khu bảo tồn thiên nhiên là khu vực địa lý được xác lập ranh giới và phân khu chức năng để bảo tồn đa dạng sinh học.</w:t>
      </w:r>
    </w:p>
    <w:p w14:paraId="308D80A6"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Khu bảo tồn bao gồm: Vườn quốc gia; Khu dự trữ thiên nhiên; Khu bảo tồn loài - sinh cảnh; Khu bảo vệ cảnh quan.</w:t>
      </w:r>
    </w:p>
    <w:p w14:paraId="3F8D1FFE"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t>Diện tích các khu bảo tồn thiên nhiên là diện tích các khu bảo tồn thiên nhiên trên cạn, biển, ven biển (gồm vườn quốc gia, khu dự trữ thiên nhiên, khu bảo tồn loài - sinh cảnh, khu bảo vệ cảnh quan,...) được công nhận trên địa bàn các tỉnh, thành phố trực thuộc Trung ương.</w:t>
      </w:r>
    </w:p>
    <w:p w14:paraId="24113C40"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44412915"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Trên cạn/biển, ven biển;</w:t>
      </w:r>
    </w:p>
    <w:p w14:paraId="12D1EF8F"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Vùng;</w:t>
      </w:r>
    </w:p>
    <w:p w14:paraId="1AE00E21"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Tỉnh, thành phố trực thuộc Trung ương.</w:t>
      </w:r>
    </w:p>
    <w:p w14:paraId="208ABEEA"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5 năm.</w:t>
      </w:r>
    </w:p>
    <w:p w14:paraId="05CACFF5"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50989F47"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Dữ liệu hành chính;</w:t>
      </w:r>
    </w:p>
    <w:p w14:paraId="0A234641"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Chế độ báo cáo thống kê cấp quốc gia.</w:t>
      </w:r>
    </w:p>
    <w:p w14:paraId="064AEED4" w14:textId="77777777" w:rsidR="008851BE" w:rsidRPr="006545AD" w:rsidRDefault="008851BE" w:rsidP="005725BC">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03B8EBDF" w14:textId="77777777" w:rsidR="008851BE" w:rsidRPr="006545AD" w:rsidRDefault="008851BE" w:rsidP="005725BC">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Chủ trì: Bộ Tài nguyên và Môi trường;</w:t>
      </w:r>
    </w:p>
    <w:p w14:paraId="5F2A4EA9" w14:textId="2148E2AE" w:rsidR="00702499" w:rsidRPr="006545AD" w:rsidRDefault="008851BE" w:rsidP="009E1776">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t>- Phối hợp: Bộ Nông nghiệp và Phát triển nông thôn</w:t>
      </w:r>
      <w:r w:rsidR="00920590" w:rsidRPr="006545AD">
        <w:rPr>
          <w:rFonts w:ascii="Times New Roman" w:eastAsia="Times New Roman" w:hAnsi="Times New Roman" w:cs="Times New Roman"/>
          <w:sz w:val="28"/>
          <w:szCs w:val="28"/>
        </w:rPr>
        <w:t xml:space="preserve">; Ủy ban nhân dân các tỉnh, thành phố trực thuộc Trung ương. </w:t>
      </w:r>
    </w:p>
    <w:p w14:paraId="0D7B0A1E" w14:textId="042CE9E8" w:rsidR="008851BE" w:rsidRPr="006545AD" w:rsidRDefault="00E87F73" w:rsidP="005725BC">
      <w:pPr>
        <w:spacing w:before="24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8851BE" w:rsidRPr="006545AD">
        <w:rPr>
          <w:rFonts w:ascii="Times New Roman" w:eastAsia="Times New Roman" w:hAnsi="Times New Roman" w:cs="Times New Roman"/>
          <w:b/>
          <w:sz w:val="28"/>
          <w:szCs w:val="28"/>
        </w:rPr>
        <w:t xml:space="preserve">II. Đô thị </w:t>
      </w:r>
    </w:p>
    <w:p w14:paraId="440099F4" w14:textId="3511B36E" w:rsidR="00F408D5" w:rsidRPr="006545AD" w:rsidRDefault="008851BE" w:rsidP="005725BC">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ab/>
      </w:r>
      <w:r w:rsidR="00836A4E" w:rsidRPr="006545AD">
        <w:rPr>
          <w:rFonts w:ascii="Times New Roman" w:eastAsia="Times New Roman" w:hAnsi="Times New Roman" w:cs="Times New Roman"/>
          <w:b/>
          <w:sz w:val="28"/>
          <w:szCs w:val="28"/>
        </w:rPr>
        <w:t>3.</w:t>
      </w:r>
      <w:r w:rsidR="00271007" w:rsidRPr="006545AD">
        <w:rPr>
          <w:rFonts w:ascii="Times New Roman" w:eastAsia="Times New Roman" w:hAnsi="Times New Roman" w:cs="Times New Roman"/>
          <w:b/>
          <w:sz w:val="28"/>
          <w:szCs w:val="28"/>
        </w:rPr>
        <w:t>7</w:t>
      </w:r>
      <w:r w:rsidR="006E7C70" w:rsidRPr="006545AD">
        <w:rPr>
          <w:rFonts w:ascii="Times New Roman" w:eastAsia="Times New Roman" w:hAnsi="Times New Roman" w:cs="Times New Roman"/>
          <w:b/>
          <w:sz w:val="28"/>
          <w:szCs w:val="28"/>
        </w:rPr>
        <w:t>. Diện tích đất cây xanh công cộng bình quân đầu người khu vực nội thành, nội thị</w:t>
      </w:r>
    </w:p>
    <w:p w14:paraId="661EF61D" w14:textId="77777777" w:rsidR="00F408D5" w:rsidRPr="006545AD" w:rsidRDefault="006229F2" w:rsidP="005725BC">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4CD49385" w14:textId="77777777" w:rsidR="00F408D5" w:rsidRPr="006545AD" w:rsidRDefault="006229F2" w:rsidP="005725BC">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Diện tích đất cây xanh công cộng bình quân đầu người khu vực nội thành, nội thị bao gồm diện tích đất cây xanh sử dụng công cộng cấp ngoài đơn vị ở và diện tích đất cây xanh sử dụng công cộng trong đơn vị ở tại các đô thị. </w:t>
      </w:r>
    </w:p>
    <w:p w14:paraId="122C3F1E" w14:textId="77777777" w:rsidR="00F408D5" w:rsidRPr="006545AD" w:rsidRDefault="006229F2" w:rsidP="005725BC">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Đất cây xanh sử dụng công cộng cấp ngoài đơn vị ở trong các đô thị bao gồm: công viên, vườn hoa phục vụ một hay nhiều đơn vị ở, toàn đô thị hoặc cấp vùng (bao gồm cả các công viên chuyên đề); diện tích mặt nước nằm trong khuôn viên </w:t>
      </w:r>
      <w:r w:rsidR="006E7C70" w:rsidRPr="006545AD">
        <w:rPr>
          <w:rFonts w:ascii="Times New Roman" w:eastAsia="Times New Roman" w:hAnsi="Times New Roman" w:cs="Times New Roman"/>
          <w:spacing w:val="-2"/>
          <w:sz w:val="28"/>
          <w:szCs w:val="28"/>
        </w:rPr>
        <w:t>các công viên, vườn hoa, trong đó chỉ tiêu mặt nước khi quy đổi ra chỉ tiêu đất cây xanh/người không chiếm quá 50% so với tổng chỉ tiêu diện tích đất cây xanh sử dụng công cộng ngoài đơn vị ở; không bao gồm các loại cây xanh chuyên dụng.</w:t>
      </w:r>
    </w:p>
    <w:p w14:paraId="467E27A8" w14:textId="77777777" w:rsidR="00F408D5" w:rsidRPr="006545AD" w:rsidRDefault="006229F2" w:rsidP="005725BC">
      <w:pPr>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Đất cây xanh sử dụng công cộng trong đơn vị ở bao gồm </w:t>
      </w:r>
      <w:r w:rsidR="00CB5D5D" w:rsidRPr="006545AD">
        <w:rPr>
          <w:rFonts w:ascii="Times New Roman" w:eastAsia="Times New Roman" w:hAnsi="Times New Roman" w:cs="Times New Roman"/>
          <w:sz w:val="28"/>
          <w:szCs w:val="28"/>
        </w:rPr>
        <w:t>sân chơi, vườn hoa, sân bãi thể dục thể thao</w:t>
      </w:r>
      <w:r w:rsidR="006E7C70" w:rsidRPr="006545AD">
        <w:rPr>
          <w:rFonts w:ascii="Times New Roman" w:eastAsia="Times New Roman" w:hAnsi="Times New Roman" w:cs="Times New Roman"/>
          <w:sz w:val="28"/>
          <w:szCs w:val="28"/>
        </w:rPr>
        <w:t xml:space="preserve"> phục vụ hàng ngày. Trong đó bao gồm các công trình phục vụ chung toàn đơn vị ở và các công trình phục vụ trong các nhóm nhà ở. Mỗi đơn vị ở xây dựng mới phải có tối thiểu một công trình vườn hoa (có thể kết hợp với sân thể thao ngoài trời và điểm sinh hoạt cộng đồng) phục vụ chung cho toàn đơn vị ở với quy mô tối thiểu là 5.000</w:t>
      </w:r>
      <w:r w:rsidR="00CB5D5D" w:rsidRPr="006545AD">
        <w:rPr>
          <w:rFonts w:ascii="Times New Roman" w:eastAsia="Times New Roman" w:hAnsi="Times New Roman" w:cs="Times New Roman"/>
          <w:sz w:val="28"/>
          <w:szCs w:val="28"/>
        </w:rPr>
        <w:t xml:space="preserve"> m</w:t>
      </w:r>
      <w:r w:rsidR="00CB5D5D" w:rsidRPr="006545AD">
        <w:rPr>
          <w:rFonts w:ascii="Times New Roman" w:eastAsia="Times New Roman" w:hAnsi="Times New Roman" w:cs="Times New Roman"/>
          <w:sz w:val="28"/>
          <w:szCs w:val="28"/>
          <w:vertAlign w:val="superscript"/>
        </w:rPr>
        <w:t>2</w:t>
      </w:r>
      <w:r w:rsidR="006E7C70" w:rsidRPr="006545AD">
        <w:rPr>
          <w:rFonts w:ascii="Times New Roman" w:eastAsia="Times New Roman" w:hAnsi="Times New Roman" w:cs="Times New Roman"/>
          <w:sz w:val="28"/>
          <w:szCs w:val="28"/>
        </w:rPr>
        <w:t>.</w:t>
      </w:r>
    </w:p>
    <w:p w14:paraId="70C435FD" w14:textId="77777777" w:rsidR="00CB5D5D" w:rsidRPr="006545AD" w:rsidRDefault="00CB5D5D"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Công thức tính: </w:t>
      </w:r>
    </w:p>
    <w:tbl>
      <w:tblPr>
        <w:tblStyle w:val="15"/>
        <w:tblW w:w="5000" w:type="pct"/>
        <w:tblBorders>
          <w:top w:val="nil"/>
          <w:left w:val="nil"/>
          <w:bottom w:val="nil"/>
          <w:right w:val="nil"/>
          <w:insideH w:val="nil"/>
          <w:insideV w:val="nil"/>
        </w:tblBorders>
        <w:tblLook w:val="0600" w:firstRow="0" w:lastRow="0" w:firstColumn="0" w:lastColumn="0" w:noHBand="1" w:noVBand="1"/>
      </w:tblPr>
      <w:tblGrid>
        <w:gridCol w:w="3543"/>
        <w:gridCol w:w="568"/>
        <w:gridCol w:w="4961"/>
      </w:tblGrid>
      <w:tr w:rsidR="00CB5D5D" w:rsidRPr="006545AD" w14:paraId="0EC66DF2" w14:textId="77777777" w:rsidTr="005725BC">
        <w:trPr>
          <w:trHeight w:val="1070"/>
        </w:trPr>
        <w:tc>
          <w:tcPr>
            <w:tcW w:w="1953" w:type="pct"/>
            <w:vMerge w:val="restart"/>
            <w:tcBorders>
              <w:top w:val="nil"/>
              <w:left w:val="nil"/>
              <w:bottom w:val="nil"/>
              <w:right w:val="nil"/>
            </w:tcBorders>
            <w:tcMar>
              <w:top w:w="100" w:type="dxa"/>
              <w:left w:w="100" w:type="dxa"/>
              <w:bottom w:w="100" w:type="dxa"/>
              <w:right w:w="100" w:type="dxa"/>
            </w:tcMar>
            <w:vAlign w:val="center"/>
          </w:tcPr>
          <w:p w14:paraId="32582292" w14:textId="77777777" w:rsidR="00CB5D5D" w:rsidRPr="006545AD" w:rsidRDefault="00CB5D5D" w:rsidP="00713EEE">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Diện tích đất cây xanh công cộng bình quân đầu người khu vực nội thành, nội thị (m</w:t>
            </w:r>
            <w:r w:rsidRPr="006545AD">
              <w:rPr>
                <w:rFonts w:ascii="Times New Roman" w:eastAsia="Times New Roman" w:hAnsi="Times New Roman" w:cs="Times New Roman"/>
                <w:sz w:val="28"/>
                <w:szCs w:val="28"/>
                <w:vertAlign w:val="superscript"/>
              </w:rPr>
              <w:t>2</w:t>
            </w:r>
            <w:r w:rsidRPr="006545AD">
              <w:rPr>
                <w:rFonts w:ascii="Times New Roman" w:eastAsia="Times New Roman" w:hAnsi="Times New Roman" w:cs="Times New Roman"/>
                <w:sz w:val="28"/>
                <w:szCs w:val="28"/>
              </w:rPr>
              <w:t>/người)</w:t>
            </w:r>
          </w:p>
        </w:tc>
        <w:tc>
          <w:tcPr>
            <w:tcW w:w="313" w:type="pct"/>
            <w:vMerge w:val="restart"/>
            <w:tcBorders>
              <w:top w:val="nil"/>
              <w:left w:val="nil"/>
              <w:bottom w:val="nil"/>
              <w:right w:val="nil"/>
            </w:tcBorders>
            <w:tcMar>
              <w:top w:w="100" w:type="dxa"/>
              <w:left w:w="100" w:type="dxa"/>
              <w:bottom w:w="100" w:type="dxa"/>
              <w:right w:w="100" w:type="dxa"/>
            </w:tcMar>
            <w:vAlign w:val="center"/>
          </w:tcPr>
          <w:p w14:paraId="7A331806" w14:textId="77777777" w:rsidR="00CB5D5D" w:rsidRPr="006545AD" w:rsidRDefault="00CB5D5D" w:rsidP="00713EEE">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734" w:type="pct"/>
            <w:tcBorders>
              <w:top w:val="nil"/>
              <w:left w:val="nil"/>
              <w:bottom w:val="single" w:sz="8" w:space="0" w:color="000000"/>
              <w:right w:val="nil"/>
            </w:tcBorders>
            <w:tcMar>
              <w:top w:w="100" w:type="dxa"/>
              <w:left w:w="100" w:type="dxa"/>
              <w:bottom w:w="100" w:type="dxa"/>
              <w:right w:w="100" w:type="dxa"/>
            </w:tcMar>
            <w:vAlign w:val="center"/>
          </w:tcPr>
          <w:p w14:paraId="152D87FB" w14:textId="560623C1" w:rsidR="00CB5D5D" w:rsidRPr="006545AD" w:rsidRDefault="00CB5D5D"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diện tích đất cây xanh công cộng khu vực nội thành, nội thị </w:t>
            </w:r>
            <w:r w:rsidR="007E2754" w:rsidRPr="006545AD">
              <w:rPr>
                <w:rFonts w:ascii="Times New Roman" w:eastAsia="Times New Roman" w:hAnsi="Times New Roman" w:cs="Times New Roman"/>
                <w:sz w:val="28"/>
                <w:szCs w:val="28"/>
              </w:rPr>
              <w:br/>
            </w:r>
            <w:r w:rsidRPr="006545AD">
              <w:rPr>
                <w:rFonts w:ascii="Times New Roman" w:eastAsia="Times New Roman" w:hAnsi="Times New Roman" w:cs="Times New Roman"/>
                <w:sz w:val="28"/>
                <w:szCs w:val="28"/>
              </w:rPr>
              <w:t>(ngoài đơn vị ở và trong đơn vị ở)</w:t>
            </w:r>
          </w:p>
        </w:tc>
      </w:tr>
      <w:tr w:rsidR="00CB5D5D" w:rsidRPr="006545AD" w14:paraId="72164893" w14:textId="77777777" w:rsidTr="005725BC">
        <w:trPr>
          <w:trHeight w:val="904"/>
        </w:trPr>
        <w:tc>
          <w:tcPr>
            <w:tcW w:w="1953" w:type="pct"/>
            <w:vMerge/>
            <w:tcBorders>
              <w:bottom w:val="nil"/>
              <w:right w:val="nil"/>
            </w:tcBorders>
            <w:shd w:val="clear" w:color="auto" w:fill="auto"/>
            <w:tcMar>
              <w:top w:w="100" w:type="dxa"/>
              <w:left w:w="100" w:type="dxa"/>
              <w:bottom w:w="100" w:type="dxa"/>
              <w:right w:w="100" w:type="dxa"/>
            </w:tcMar>
            <w:vAlign w:val="center"/>
          </w:tcPr>
          <w:p w14:paraId="6D749482" w14:textId="77777777" w:rsidR="00CB5D5D" w:rsidRPr="006545AD" w:rsidRDefault="00CB5D5D" w:rsidP="00713EEE">
            <w:pPr>
              <w:spacing w:before="60" w:after="60" w:line="360" w:lineRule="exact"/>
              <w:jc w:val="both"/>
              <w:rPr>
                <w:rFonts w:ascii="Times New Roman" w:eastAsia="Times New Roman" w:hAnsi="Times New Roman" w:cs="Times New Roman"/>
                <w:b/>
                <w:sz w:val="28"/>
                <w:szCs w:val="28"/>
              </w:rPr>
            </w:pPr>
          </w:p>
        </w:tc>
        <w:tc>
          <w:tcPr>
            <w:tcW w:w="313" w:type="pct"/>
            <w:vMerge/>
            <w:tcBorders>
              <w:bottom w:val="nil"/>
              <w:right w:val="nil"/>
            </w:tcBorders>
            <w:shd w:val="clear" w:color="auto" w:fill="auto"/>
            <w:tcMar>
              <w:top w:w="100" w:type="dxa"/>
              <w:left w:w="100" w:type="dxa"/>
              <w:bottom w:w="100" w:type="dxa"/>
              <w:right w:w="100" w:type="dxa"/>
            </w:tcMar>
            <w:vAlign w:val="center"/>
          </w:tcPr>
          <w:p w14:paraId="2C7236E3" w14:textId="77777777" w:rsidR="00CB5D5D" w:rsidRPr="006545AD" w:rsidRDefault="00CB5D5D" w:rsidP="00713EEE">
            <w:pPr>
              <w:spacing w:before="60" w:after="60" w:line="360" w:lineRule="exact"/>
              <w:jc w:val="both"/>
              <w:rPr>
                <w:rFonts w:ascii="Times New Roman" w:eastAsia="Times New Roman" w:hAnsi="Times New Roman" w:cs="Times New Roman"/>
                <w:b/>
                <w:sz w:val="28"/>
                <w:szCs w:val="28"/>
              </w:rPr>
            </w:pPr>
          </w:p>
        </w:tc>
        <w:tc>
          <w:tcPr>
            <w:tcW w:w="2734" w:type="pct"/>
            <w:tcBorders>
              <w:top w:val="nil"/>
              <w:left w:val="nil"/>
              <w:bottom w:val="nil"/>
              <w:right w:val="nil"/>
            </w:tcBorders>
            <w:shd w:val="clear" w:color="auto" w:fill="auto"/>
            <w:tcMar>
              <w:top w:w="100" w:type="dxa"/>
              <w:left w:w="100" w:type="dxa"/>
              <w:bottom w:w="100" w:type="dxa"/>
              <w:right w:w="100" w:type="dxa"/>
            </w:tcMar>
            <w:vAlign w:val="center"/>
          </w:tcPr>
          <w:p w14:paraId="34B07F74" w14:textId="77777777" w:rsidR="00CB5D5D" w:rsidRPr="006545AD" w:rsidRDefault="00CB5D5D"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Dân số trung bình của khu vực nội thành, nội thị</w:t>
            </w:r>
          </w:p>
        </w:tc>
      </w:tr>
    </w:tbl>
    <w:p w14:paraId="5BEB1B86" w14:textId="77777777" w:rsidR="00F408D5" w:rsidRPr="006545AD" w:rsidRDefault="006E7C70" w:rsidP="005725BC">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2. Phân tổ chủ yếu </w:t>
      </w:r>
    </w:p>
    <w:p w14:paraId="658BC1B6" w14:textId="77777777" w:rsidR="00F408D5" w:rsidRPr="006545AD" w:rsidRDefault="006E7C70"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đô thị (đô thị loại III, II, I và đô thị đặc biệt)</w:t>
      </w:r>
      <w:r w:rsidR="00574BDA" w:rsidRPr="006545AD">
        <w:rPr>
          <w:rFonts w:ascii="Times New Roman" w:eastAsia="Times New Roman" w:hAnsi="Times New Roman" w:cs="Times New Roman"/>
          <w:sz w:val="28"/>
          <w:szCs w:val="28"/>
        </w:rPr>
        <w:t>.</w:t>
      </w:r>
    </w:p>
    <w:p w14:paraId="3D9361BF" w14:textId="77777777" w:rsidR="00F408D5" w:rsidRPr="006545AD" w:rsidRDefault="006E7C70" w:rsidP="005725BC">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5 năm</w:t>
      </w:r>
      <w:r w:rsidR="00574BDA" w:rsidRPr="006545AD">
        <w:rPr>
          <w:rFonts w:ascii="Times New Roman" w:eastAsia="Times New Roman" w:hAnsi="Times New Roman" w:cs="Times New Roman"/>
          <w:sz w:val="28"/>
          <w:szCs w:val="28"/>
        </w:rPr>
        <w:t>.</w:t>
      </w:r>
    </w:p>
    <w:p w14:paraId="5A19B52D" w14:textId="77777777" w:rsidR="00F408D5" w:rsidRPr="006545AD" w:rsidRDefault="006E7C70" w:rsidP="005725BC">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4. Nguồn số liệu: </w:t>
      </w:r>
    </w:p>
    <w:p w14:paraId="2748628E" w14:textId="77777777" w:rsidR="00F408D5" w:rsidRPr="006545AD" w:rsidRDefault="006E7C70"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Số liệu thống kê dân số hàng năm của </w:t>
      </w:r>
      <w:r w:rsidR="00574BDA" w:rsidRPr="006545AD">
        <w:rPr>
          <w:rFonts w:ascii="Times New Roman" w:eastAsia="Times New Roman" w:hAnsi="Times New Roman" w:cs="Times New Roman"/>
          <w:sz w:val="28"/>
          <w:szCs w:val="28"/>
        </w:rPr>
        <w:t>Tổng cục Thống kê;</w:t>
      </w:r>
    </w:p>
    <w:p w14:paraId="1EF9A7F2" w14:textId="460BCE4D" w:rsidR="00F408D5" w:rsidRPr="006545AD" w:rsidRDefault="006E7C70"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008605DF" w:rsidRPr="006545AD">
        <w:rPr>
          <w:rFonts w:ascii="Times New Roman" w:eastAsia="Times New Roman" w:hAnsi="Times New Roman" w:cs="Times New Roman"/>
          <w:sz w:val="28"/>
          <w:szCs w:val="28"/>
        </w:rPr>
        <w:t>Chế độ b</w:t>
      </w:r>
      <w:r w:rsidRPr="006545AD">
        <w:rPr>
          <w:rFonts w:ascii="Times New Roman" w:eastAsia="Times New Roman" w:hAnsi="Times New Roman" w:cs="Times New Roman"/>
          <w:sz w:val="28"/>
          <w:szCs w:val="28"/>
        </w:rPr>
        <w:t xml:space="preserve">áo cáo </w:t>
      </w:r>
      <w:r w:rsidR="008605DF" w:rsidRPr="006545AD">
        <w:rPr>
          <w:rFonts w:ascii="Times New Roman" w:eastAsia="Times New Roman" w:hAnsi="Times New Roman" w:cs="Times New Roman"/>
          <w:sz w:val="28"/>
          <w:szCs w:val="28"/>
        </w:rPr>
        <w:t>ngành x</w:t>
      </w:r>
      <w:r w:rsidRPr="006545AD">
        <w:rPr>
          <w:rFonts w:ascii="Times New Roman" w:eastAsia="Times New Roman" w:hAnsi="Times New Roman" w:cs="Times New Roman"/>
          <w:sz w:val="28"/>
          <w:szCs w:val="28"/>
        </w:rPr>
        <w:t>ây dựng</w:t>
      </w:r>
      <w:r w:rsidR="00574BDA" w:rsidRPr="006545AD">
        <w:rPr>
          <w:rFonts w:ascii="Times New Roman" w:eastAsia="Times New Roman" w:hAnsi="Times New Roman" w:cs="Times New Roman"/>
          <w:sz w:val="28"/>
          <w:szCs w:val="28"/>
        </w:rPr>
        <w:t>.</w:t>
      </w:r>
    </w:p>
    <w:p w14:paraId="6AACB7E4" w14:textId="77777777" w:rsidR="00F408D5" w:rsidRPr="006545AD" w:rsidRDefault="006E7C70" w:rsidP="005725BC">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7F17A2E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Xây dựng</w:t>
      </w:r>
      <w:r w:rsidR="00574BDA" w:rsidRPr="006545AD">
        <w:rPr>
          <w:rFonts w:ascii="Times New Roman" w:eastAsia="Times New Roman" w:hAnsi="Times New Roman" w:cs="Times New Roman"/>
          <w:sz w:val="28"/>
          <w:szCs w:val="28"/>
        </w:rPr>
        <w:t>;</w:t>
      </w:r>
    </w:p>
    <w:p w14:paraId="48D0980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Phối hợp: </w:t>
      </w:r>
      <w:r w:rsidR="00C651A7" w:rsidRPr="006545AD">
        <w:rPr>
          <w:rFonts w:ascii="Times New Roman" w:eastAsia="Times New Roman" w:hAnsi="Times New Roman" w:cs="Times New Roman"/>
          <w:sz w:val="28"/>
          <w:szCs w:val="28"/>
        </w:rPr>
        <w:t>Bộ Kế hoạch và Đầu tư (Tổng cục Thống kê)</w:t>
      </w:r>
      <w:r w:rsidR="00574BDA" w:rsidRPr="006545AD">
        <w:rPr>
          <w:rFonts w:ascii="Times New Roman" w:eastAsia="Times New Roman" w:hAnsi="Times New Roman" w:cs="Times New Roman"/>
          <w:sz w:val="28"/>
          <w:szCs w:val="28"/>
        </w:rPr>
        <w:t>.</w:t>
      </w:r>
    </w:p>
    <w:p w14:paraId="55AB6F4C" w14:textId="77777777" w:rsidR="00F859A7" w:rsidRPr="009E1776" w:rsidRDefault="006229F2" w:rsidP="00F859A7">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836A4E" w:rsidRPr="006545AD">
        <w:rPr>
          <w:rFonts w:ascii="Times New Roman" w:eastAsia="Times New Roman" w:hAnsi="Times New Roman" w:cs="Times New Roman"/>
          <w:b/>
          <w:sz w:val="28"/>
          <w:szCs w:val="28"/>
        </w:rPr>
        <w:t>3.</w:t>
      </w:r>
      <w:r w:rsidR="00271007" w:rsidRPr="006545AD">
        <w:rPr>
          <w:rFonts w:ascii="Times New Roman" w:eastAsia="Times New Roman" w:hAnsi="Times New Roman" w:cs="Times New Roman"/>
          <w:b/>
          <w:sz w:val="28"/>
          <w:szCs w:val="28"/>
        </w:rPr>
        <w:t>8</w:t>
      </w:r>
      <w:r w:rsidR="006E7C70" w:rsidRPr="006545AD">
        <w:rPr>
          <w:rFonts w:ascii="Times New Roman" w:eastAsia="Times New Roman" w:hAnsi="Times New Roman" w:cs="Times New Roman"/>
          <w:b/>
          <w:sz w:val="28"/>
          <w:szCs w:val="28"/>
        </w:rPr>
        <w:t xml:space="preserve">. </w:t>
      </w:r>
      <w:r w:rsidR="00F859A7" w:rsidRPr="009E1776">
        <w:rPr>
          <w:rFonts w:ascii="Times New Roman" w:eastAsia="Times New Roman" w:hAnsi="Times New Roman" w:cs="Times New Roman"/>
          <w:b/>
          <w:sz w:val="28"/>
          <w:szCs w:val="28"/>
        </w:rPr>
        <w:t>Tỷ lệ đô thị đạt tiêu chuẩn đô thị tăng trưởng xanh theo hướng đô thị thông minh, bền vững so với tổng số các đô thị</w:t>
      </w:r>
    </w:p>
    <w:p w14:paraId="116659E7" w14:textId="60AB5D6F" w:rsidR="00F859A7" w:rsidRPr="006545AD" w:rsidRDefault="006229F2" w:rsidP="00F859A7">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1E93B814" w14:textId="77777777" w:rsidR="00F859A7" w:rsidRPr="006545AD" w:rsidRDefault="00F859A7" w:rsidP="00F859A7">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t>Đô thị đạt tiêu chuẩn đô thị tăng trưởng xanh theo hướng đô thị thông minh, bền vững là đô thị ứng dụng công nghệ thông tin và truyền thông (ICT) phù hợp, tin cậy, có tính đổi mới sáng tạo để đạt được tăng trưởng và phát triển kinh tế thông qua các chính sách và hoạt động đô thị nhằm giảm những tác động có ảnh hưởng bất lợi đối với môi trường và nguồn tài nguyên thiên nhiên.</w:t>
      </w:r>
    </w:p>
    <w:p w14:paraId="2409A3D8" w14:textId="77777777" w:rsidR="00F859A7" w:rsidRPr="006545AD" w:rsidRDefault="00F859A7" w:rsidP="00F859A7">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Danh mục chỉ tiêu xây dựng đô thị tăng trưởng xanh gồm 24 chỉ tiêu được chia thành 4 nhóm: Kinh tế, môi trường, xã hội và thể chế (theo TT 01/2018 của Bộ Xây dựng). Tiêu chuẩn phân loại đô thị thông minh bền vững đang được xây dựng ở nhóm nhiệm vụ số 2 của QĐ 950/QĐ-TTg của Thủ tướng chính phủ. Đô thị đạt tiêu chuẩn đô thị tăng trưởng xanh theo hướng đô thị thông minh bền vững là đô thị phải thỏa mãn cả 2 nhóm tiêu chí này.</w:t>
      </w:r>
    </w:p>
    <w:p w14:paraId="20DF6160" w14:textId="77777777" w:rsidR="00F859A7" w:rsidRPr="006545AD" w:rsidRDefault="00F859A7" w:rsidP="00F859A7">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Tỷ lệ đô thị tăng trưởng xanh theo hướng đô thị thông minh bền vững so với tổng số đô thị phản ánh mức độ đô thị đạt tiêu chuẩn đô thị tăng trưởng xanh theo hướng đô thị thông minh bền vững của một quốc gia. Việc xây dựng đô thị thông minh, phát triển bền vững là 1 trong 3 nhiệm vụ cốt lõi trong tiến trình chuyển đổi số. </w:t>
      </w:r>
    </w:p>
    <w:p w14:paraId="34A7536D" w14:textId="77777777" w:rsidR="00F859A7" w:rsidRPr="006545AD" w:rsidRDefault="00F859A7" w:rsidP="00F859A7">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Công thức tính: </w:t>
      </w:r>
    </w:p>
    <w:tbl>
      <w:tblPr>
        <w:tblStyle w:val="15"/>
        <w:tblW w:w="9073"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3408"/>
        <w:gridCol w:w="236"/>
        <w:gridCol w:w="4559"/>
        <w:gridCol w:w="870"/>
      </w:tblGrid>
      <w:tr w:rsidR="00F859A7" w:rsidRPr="006545AD" w14:paraId="470C7A3B" w14:textId="77777777" w:rsidTr="00B307A2">
        <w:trPr>
          <w:trHeight w:val="267"/>
        </w:trPr>
        <w:tc>
          <w:tcPr>
            <w:tcW w:w="3408" w:type="dxa"/>
            <w:vMerge w:val="restart"/>
            <w:tcBorders>
              <w:top w:val="nil"/>
              <w:left w:val="nil"/>
              <w:bottom w:val="nil"/>
              <w:right w:val="nil"/>
            </w:tcBorders>
            <w:tcMar>
              <w:top w:w="100" w:type="dxa"/>
              <w:left w:w="100" w:type="dxa"/>
              <w:bottom w:w="100" w:type="dxa"/>
              <w:right w:w="100" w:type="dxa"/>
            </w:tcMar>
            <w:vAlign w:val="center"/>
          </w:tcPr>
          <w:p w14:paraId="1238553E" w14:textId="77777777" w:rsidR="00F859A7" w:rsidRPr="006545AD" w:rsidRDefault="00F859A7"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đô thị đạt tiêu chuẩn đô thị thông minh, bền vững so với tổng số đô thị (%)</w:t>
            </w:r>
          </w:p>
        </w:tc>
        <w:tc>
          <w:tcPr>
            <w:tcW w:w="236" w:type="dxa"/>
            <w:vMerge w:val="restart"/>
            <w:tcBorders>
              <w:top w:val="nil"/>
              <w:left w:val="nil"/>
              <w:bottom w:val="nil"/>
              <w:right w:val="nil"/>
            </w:tcBorders>
            <w:tcMar>
              <w:top w:w="100" w:type="dxa"/>
              <w:left w:w="100" w:type="dxa"/>
              <w:bottom w:w="100" w:type="dxa"/>
              <w:right w:w="100" w:type="dxa"/>
            </w:tcMar>
            <w:vAlign w:val="center"/>
          </w:tcPr>
          <w:p w14:paraId="162ADA6E" w14:textId="77777777" w:rsidR="00F859A7" w:rsidRPr="006545AD" w:rsidRDefault="00F859A7"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559" w:type="dxa"/>
            <w:tcBorders>
              <w:top w:val="nil"/>
              <w:left w:val="nil"/>
              <w:bottom w:val="single" w:sz="8" w:space="0" w:color="000000"/>
              <w:right w:val="nil"/>
            </w:tcBorders>
            <w:tcMar>
              <w:top w:w="100" w:type="dxa"/>
              <w:left w:w="100" w:type="dxa"/>
              <w:bottom w:w="100" w:type="dxa"/>
              <w:right w:w="100" w:type="dxa"/>
            </w:tcMar>
            <w:vAlign w:val="center"/>
          </w:tcPr>
          <w:p w14:paraId="050A7C91" w14:textId="77777777" w:rsidR="00F859A7" w:rsidRPr="006545AD" w:rsidRDefault="00F859A7"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đô thị đạt tiêu chuẩn đô thị thông minh, bền vững</w:t>
            </w:r>
          </w:p>
        </w:tc>
        <w:tc>
          <w:tcPr>
            <w:tcW w:w="870" w:type="dxa"/>
            <w:vMerge w:val="restart"/>
            <w:tcBorders>
              <w:top w:val="nil"/>
              <w:left w:val="nil"/>
              <w:bottom w:val="nil"/>
              <w:right w:val="nil"/>
            </w:tcBorders>
            <w:tcMar>
              <w:top w:w="100" w:type="dxa"/>
              <w:left w:w="100" w:type="dxa"/>
              <w:bottom w:w="100" w:type="dxa"/>
              <w:right w:w="100" w:type="dxa"/>
            </w:tcMar>
            <w:vAlign w:val="center"/>
          </w:tcPr>
          <w:p w14:paraId="7E59688A" w14:textId="77777777" w:rsidR="00F859A7" w:rsidRPr="006545AD" w:rsidRDefault="00F859A7" w:rsidP="00B307A2">
            <w:pPr>
              <w:spacing w:before="60" w:after="60" w:line="360" w:lineRule="exact"/>
              <w:jc w:val="center"/>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w:t>
            </w:r>
            <w:r w:rsidRPr="006545AD">
              <w:rPr>
                <w:rFonts w:ascii="Times New Roman" w:eastAsia="Times New Roman" w:hAnsi="Times New Roman" w:cs="Times New Roman"/>
                <w:sz w:val="28"/>
                <w:szCs w:val="28"/>
              </w:rPr>
              <w:t xml:space="preserve"> 100</w:t>
            </w:r>
          </w:p>
        </w:tc>
      </w:tr>
      <w:tr w:rsidR="00F859A7" w:rsidRPr="006545AD" w14:paraId="4AA71920" w14:textId="77777777" w:rsidTr="00B307A2">
        <w:trPr>
          <w:trHeight w:val="622"/>
        </w:trPr>
        <w:tc>
          <w:tcPr>
            <w:tcW w:w="3408" w:type="dxa"/>
            <w:vMerge/>
            <w:tcBorders>
              <w:bottom w:val="nil"/>
              <w:right w:val="nil"/>
            </w:tcBorders>
            <w:shd w:val="clear" w:color="auto" w:fill="auto"/>
            <w:tcMar>
              <w:top w:w="100" w:type="dxa"/>
              <w:left w:w="100" w:type="dxa"/>
              <w:bottom w:w="100" w:type="dxa"/>
              <w:right w:w="100" w:type="dxa"/>
            </w:tcMar>
            <w:vAlign w:val="center"/>
          </w:tcPr>
          <w:p w14:paraId="44BA0C44" w14:textId="77777777" w:rsidR="00F859A7" w:rsidRPr="006545AD" w:rsidRDefault="00F859A7" w:rsidP="00B307A2">
            <w:pPr>
              <w:spacing w:before="60" w:after="60" w:line="360" w:lineRule="exact"/>
              <w:jc w:val="both"/>
              <w:rPr>
                <w:rFonts w:ascii="Times New Roman" w:eastAsia="Times New Roman" w:hAnsi="Times New Roman" w:cs="Times New Roman"/>
                <w:b/>
                <w:sz w:val="28"/>
                <w:szCs w:val="28"/>
              </w:rPr>
            </w:pPr>
          </w:p>
        </w:tc>
        <w:tc>
          <w:tcPr>
            <w:tcW w:w="236" w:type="dxa"/>
            <w:vMerge/>
            <w:tcBorders>
              <w:bottom w:val="nil"/>
              <w:right w:val="nil"/>
            </w:tcBorders>
            <w:shd w:val="clear" w:color="auto" w:fill="auto"/>
            <w:tcMar>
              <w:top w:w="100" w:type="dxa"/>
              <w:left w:w="100" w:type="dxa"/>
              <w:bottom w:w="100" w:type="dxa"/>
              <w:right w:w="100" w:type="dxa"/>
            </w:tcMar>
            <w:vAlign w:val="center"/>
          </w:tcPr>
          <w:p w14:paraId="30755695" w14:textId="77777777" w:rsidR="00F859A7" w:rsidRPr="006545AD" w:rsidRDefault="00F859A7" w:rsidP="00B307A2">
            <w:pPr>
              <w:spacing w:before="60" w:after="60" w:line="360" w:lineRule="exact"/>
              <w:jc w:val="both"/>
              <w:rPr>
                <w:rFonts w:ascii="Times New Roman" w:eastAsia="Times New Roman" w:hAnsi="Times New Roman" w:cs="Times New Roman"/>
                <w:b/>
                <w:sz w:val="28"/>
                <w:szCs w:val="28"/>
              </w:rPr>
            </w:pPr>
          </w:p>
        </w:tc>
        <w:tc>
          <w:tcPr>
            <w:tcW w:w="4559" w:type="dxa"/>
            <w:tcBorders>
              <w:top w:val="nil"/>
              <w:left w:val="nil"/>
              <w:bottom w:val="nil"/>
              <w:right w:val="nil"/>
            </w:tcBorders>
            <w:shd w:val="clear" w:color="auto" w:fill="auto"/>
            <w:tcMar>
              <w:top w:w="100" w:type="dxa"/>
              <w:left w:w="100" w:type="dxa"/>
              <w:bottom w:w="100" w:type="dxa"/>
              <w:right w:w="100" w:type="dxa"/>
            </w:tcMar>
            <w:vAlign w:val="center"/>
          </w:tcPr>
          <w:p w14:paraId="20876FB7" w14:textId="77777777" w:rsidR="00F859A7" w:rsidRPr="006545AD" w:rsidRDefault="00F859A7" w:rsidP="00B307A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số đô thị  </w:t>
            </w:r>
          </w:p>
        </w:tc>
        <w:tc>
          <w:tcPr>
            <w:tcW w:w="870" w:type="dxa"/>
            <w:vMerge/>
            <w:tcBorders>
              <w:bottom w:val="nil"/>
              <w:right w:val="nil"/>
            </w:tcBorders>
            <w:shd w:val="clear" w:color="auto" w:fill="auto"/>
            <w:tcMar>
              <w:top w:w="100" w:type="dxa"/>
              <w:left w:w="100" w:type="dxa"/>
              <w:bottom w:w="100" w:type="dxa"/>
              <w:right w:w="100" w:type="dxa"/>
            </w:tcMar>
            <w:vAlign w:val="center"/>
          </w:tcPr>
          <w:p w14:paraId="06D5944E" w14:textId="77777777" w:rsidR="00F859A7" w:rsidRPr="006545AD" w:rsidRDefault="00F859A7" w:rsidP="00B307A2">
            <w:pPr>
              <w:spacing w:before="60" w:after="60" w:line="360" w:lineRule="exact"/>
              <w:jc w:val="both"/>
              <w:rPr>
                <w:rFonts w:ascii="Times New Roman" w:eastAsia="Times New Roman" w:hAnsi="Times New Roman" w:cs="Times New Roman"/>
                <w:b/>
                <w:sz w:val="28"/>
                <w:szCs w:val="28"/>
              </w:rPr>
            </w:pPr>
          </w:p>
        </w:tc>
      </w:tr>
    </w:tbl>
    <w:p w14:paraId="3B065B35" w14:textId="31BE4C9E" w:rsidR="00F408D5" w:rsidRPr="006545AD" w:rsidRDefault="00F859A7" w:rsidP="00F859A7">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2. Phân tổ chủ yếu</w:t>
      </w:r>
      <w:r w:rsidR="00847C20"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sz w:val="28"/>
          <w:szCs w:val="28"/>
        </w:rPr>
        <w:t>Loại đô thị (</w:t>
      </w:r>
      <w:r w:rsidR="00C52321" w:rsidRPr="006545AD">
        <w:rPr>
          <w:rFonts w:ascii="Times New Roman" w:eastAsia="Times New Roman" w:hAnsi="Times New Roman" w:cs="Times New Roman"/>
          <w:sz w:val="28"/>
          <w:szCs w:val="28"/>
        </w:rPr>
        <w:t>đô thị loại III, II, I và đô thị đặc biệt</w:t>
      </w:r>
      <w:r w:rsidR="006E7C70" w:rsidRPr="006545AD">
        <w:rPr>
          <w:rFonts w:ascii="Times New Roman" w:eastAsia="Times New Roman" w:hAnsi="Times New Roman" w:cs="Times New Roman"/>
          <w:sz w:val="28"/>
          <w:szCs w:val="28"/>
        </w:rPr>
        <w:t>)</w:t>
      </w:r>
      <w:r w:rsidR="00CB5D5D" w:rsidRPr="006545AD">
        <w:rPr>
          <w:rFonts w:ascii="Times New Roman" w:eastAsia="Times New Roman" w:hAnsi="Times New Roman" w:cs="Times New Roman"/>
          <w:sz w:val="28"/>
          <w:szCs w:val="28"/>
        </w:rPr>
        <w:t>.</w:t>
      </w:r>
    </w:p>
    <w:p w14:paraId="7DE5C81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2 năm</w:t>
      </w:r>
      <w:r w:rsidR="00CB5D5D" w:rsidRPr="006545AD">
        <w:rPr>
          <w:rFonts w:ascii="Times New Roman" w:eastAsia="Times New Roman" w:hAnsi="Times New Roman" w:cs="Times New Roman"/>
          <w:sz w:val="28"/>
          <w:szCs w:val="28"/>
        </w:rPr>
        <w:t>.</w:t>
      </w:r>
    </w:p>
    <w:p w14:paraId="733ABB6D" w14:textId="4283813E"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r w:rsidR="00847C20"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 xml:space="preserve">Chế độ báo cáo </w:t>
      </w:r>
      <w:r w:rsidR="008605DF" w:rsidRPr="006545AD">
        <w:rPr>
          <w:rFonts w:ascii="Times New Roman" w:eastAsia="Times New Roman" w:hAnsi="Times New Roman" w:cs="Times New Roman"/>
          <w:sz w:val="28"/>
          <w:szCs w:val="28"/>
        </w:rPr>
        <w:t>ngành</w:t>
      </w:r>
      <w:r w:rsidRPr="006545AD">
        <w:rPr>
          <w:rFonts w:ascii="Times New Roman" w:eastAsia="Times New Roman" w:hAnsi="Times New Roman" w:cs="Times New Roman"/>
          <w:sz w:val="28"/>
          <w:szCs w:val="28"/>
        </w:rPr>
        <w:t xml:space="preserve"> </w:t>
      </w:r>
      <w:r w:rsidR="008605DF" w:rsidRPr="006545AD">
        <w:rPr>
          <w:rFonts w:ascii="Times New Roman" w:eastAsia="Times New Roman" w:hAnsi="Times New Roman" w:cs="Times New Roman"/>
          <w:sz w:val="28"/>
          <w:szCs w:val="28"/>
        </w:rPr>
        <w:t>x</w:t>
      </w:r>
      <w:r w:rsidRPr="006545AD">
        <w:rPr>
          <w:rFonts w:ascii="Times New Roman" w:eastAsia="Times New Roman" w:hAnsi="Times New Roman" w:cs="Times New Roman"/>
          <w:sz w:val="28"/>
          <w:szCs w:val="28"/>
        </w:rPr>
        <w:t>ây dựng</w:t>
      </w:r>
      <w:r w:rsidR="00C70840" w:rsidRPr="006545AD">
        <w:rPr>
          <w:rFonts w:ascii="Times New Roman" w:eastAsia="Times New Roman" w:hAnsi="Times New Roman" w:cs="Times New Roman"/>
          <w:sz w:val="28"/>
          <w:szCs w:val="28"/>
        </w:rPr>
        <w:t>.</w:t>
      </w:r>
    </w:p>
    <w:p w14:paraId="2F353C1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5. Cơ quan chịu trách nhiệm thu thập, tổng hợp: </w:t>
      </w:r>
    </w:p>
    <w:p w14:paraId="284FCD3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Xây dựng</w:t>
      </w:r>
      <w:r w:rsidR="00C70840" w:rsidRPr="006545AD">
        <w:rPr>
          <w:rFonts w:ascii="Times New Roman" w:eastAsia="Times New Roman" w:hAnsi="Times New Roman" w:cs="Times New Roman"/>
          <w:sz w:val="28"/>
          <w:szCs w:val="28"/>
        </w:rPr>
        <w:t>;</w:t>
      </w:r>
    </w:p>
    <w:p w14:paraId="5717BDA5" w14:textId="09CB23E6" w:rsidR="00271007" w:rsidRPr="006545AD" w:rsidRDefault="00B81FE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 Phối hợp: </w:t>
      </w:r>
      <w:r w:rsidR="0063652A" w:rsidRPr="006545AD">
        <w:rPr>
          <w:rFonts w:ascii="Times New Roman" w:eastAsia="Times New Roman" w:hAnsi="Times New Roman" w:cs="Times New Roman"/>
          <w:sz w:val="28"/>
          <w:szCs w:val="28"/>
        </w:rPr>
        <w:t xml:space="preserve">Ủy ban Nhân dân </w:t>
      </w:r>
      <w:r w:rsidR="006E7C70" w:rsidRPr="006545AD">
        <w:rPr>
          <w:rFonts w:ascii="Times New Roman" w:eastAsia="Times New Roman" w:hAnsi="Times New Roman" w:cs="Times New Roman"/>
          <w:sz w:val="28"/>
          <w:szCs w:val="28"/>
        </w:rPr>
        <w:t>tỉnh</w:t>
      </w:r>
      <w:r w:rsidR="00795E05" w:rsidRPr="006545AD">
        <w:rPr>
          <w:rFonts w:ascii="Times New Roman" w:eastAsia="Times New Roman" w:hAnsi="Times New Roman" w:cs="Times New Roman"/>
          <w:sz w:val="28"/>
          <w:szCs w:val="28"/>
        </w:rPr>
        <w:t>, thành phố</w:t>
      </w:r>
      <w:r w:rsidR="000A1771" w:rsidRPr="006545AD">
        <w:rPr>
          <w:rFonts w:ascii="Times New Roman" w:eastAsia="Times New Roman" w:hAnsi="Times New Roman" w:cs="Times New Roman"/>
          <w:sz w:val="28"/>
          <w:szCs w:val="28"/>
        </w:rPr>
        <w:t xml:space="preserve"> trực thuộc Trung ương</w:t>
      </w:r>
      <w:r w:rsidR="003E60C8" w:rsidRPr="006545AD">
        <w:rPr>
          <w:rFonts w:ascii="Times New Roman" w:eastAsia="Times New Roman" w:hAnsi="Times New Roman" w:cs="Times New Roman"/>
          <w:b/>
          <w:sz w:val="28"/>
          <w:szCs w:val="28"/>
        </w:rPr>
        <w:tab/>
      </w:r>
    </w:p>
    <w:p w14:paraId="45025362" w14:textId="62C9BF42" w:rsidR="00F408D5" w:rsidRPr="006545AD" w:rsidRDefault="00271007" w:rsidP="005725BC">
      <w:pPr>
        <w:spacing w:before="24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8851BE" w:rsidRPr="006545AD">
        <w:rPr>
          <w:rFonts w:ascii="Times New Roman" w:eastAsia="Times New Roman" w:hAnsi="Times New Roman" w:cs="Times New Roman"/>
          <w:b/>
          <w:sz w:val="28"/>
          <w:szCs w:val="28"/>
        </w:rPr>
        <w:t xml:space="preserve">III. Chính phủ </w:t>
      </w:r>
    </w:p>
    <w:p w14:paraId="0545C2CD" w14:textId="036A2BE4" w:rsidR="00F408D5" w:rsidRPr="006545AD" w:rsidRDefault="003E60C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836A4E" w:rsidRPr="006545AD">
        <w:rPr>
          <w:rFonts w:ascii="Times New Roman" w:eastAsia="Times New Roman" w:hAnsi="Times New Roman" w:cs="Times New Roman"/>
          <w:b/>
          <w:sz w:val="28"/>
          <w:szCs w:val="28"/>
        </w:rPr>
        <w:t>3.</w:t>
      </w:r>
      <w:r w:rsidR="009E10CA" w:rsidRPr="006545AD">
        <w:rPr>
          <w:rFonts w:ascii="Times New Roman" w:eastAsia="Times New Roman" w:hAnsi="Times New Roman" w:cs="Times New Roman"/>
          <w:b/>
          <w:sz w:val="28"/>
          <w:szCs w:val="28"/>
        </w:rPr>
        <w:t>9</w:t>
      </w:r>
      <w:r w:rsidR="006E7C70" w:rsidRPr="006545AD">
        <w:rPr>
          <w:rFonts w:ascii="Times New Roman" w:eastAsia="Times New Roman" w:hAnsi="Times New Roman" w:cs="Times New Roman"/>
          <w:b/>
          <w:sz w:val="28"/>
          <w:szCs w:val="28"/>
        </w:rPr>
        <w:t>. Tỷ lệ chi đầu tư công xanh so với Tổng chi ngân sách nhà nước</w:t>
      </w:r>
    </w:p>
    <w:p w14:paraId="604EF109" w14:textId="77777777" w:rsidR="00F408D5" w:rsidRPr="006545AD" w:rsidRDefault="003E60C8"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4F81D9CF" w14:textId="77777777" w:rsidR="003E60C8" w:rsidRPr="006545AD" w:rsidRDefault="003E60C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Chi đầu tư công xanh là các khoản chi đầu tư của Nhà nước vào các chương trình, dự án đầu tư xanh</w:t>
      </w:r>
      <w:r w:rsidR="00847C20" w:rsidRPr="006545AD">
        <w:rPr>
          <w:rFonts w:ascii="Times New Roman" w:eastAsia="Times New Roman" w:hAnsi="Times New Roman" w:cs="Times New Roman"/>
          <w:sz w:val="28"/>
          <w:szCs w:val="28"/>
        </w:rPr>
        <w:t>.</w:t>
      </w:r>
    </w:p>
    <w:p w14:paraId="438DB77C" w14:textId="77777777" w:rsidR="003E60C8" w:rsidRPr="006545AD" w:rsidRDefault="003E60C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xml:space="preserve">Các chương trình, dự án đầu tư công xanh là các dự án được thiết kế, thi công, vận hành và bảo dưỡng theo hướng thân thiện với môi trường, sử dụng tiết kiệm và hiệu quả tài nguyên, đồng thời đảm bảo chất lượng môi trường, đáp ứng các điều kiện tiện nghi và sức khỏe cho người sử dụng. Những yếu tố chính góp </w:t>
      </w:r>
      <w:r w:rsidR="006E7C70" w:rsidRPr="006545AD">
        <w:rPr>
          <w:rFonts w:ascii="Times New Roman" w:eastAsia="Times New Roman" w:hAnsi="Times New Roman" w:cs="Times New Roman"/>
          <w:sz w:val="28"/>
          <w:szCs w:val="28"/>
        </w:rPr>
        <w:lastRenderedPageBreak/>
        <w:t>phần tạo nên một công trình xanh bao gồm: hiệu quả sử dụng năng lượng, hiệu quả sử dụng nước, chất tượng môi trường bên trong, hiệu quả sử dụng vật liệu xây dựng và các ảnh hưởng khác của công trình xây dựng đến môi trường xung quanh</w:t>
      </w:r>
      <w:r w:rsidRPr="006545AD">
        <w:rPr>
          <w:rFonts w:ascii="Times New Roman" w:eastAsia="Times New Roman" w:hAnsi="Times New Roman" w:cs="Times New Roman"/>
          <w:sz w:val="28"/>
          <w:szCs w:val="28"/>
        </w:rPr>
        <w:t>.</w:t>
      </w:r>
    </w:p>
    <w:p w14:paraId="2EC4EF5B" w14:textId="77777777" w:rsidR="003E60C8" w:rsidRPr="006545AD" w:rsidRDefault="003E60C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Chi ngân sách nhà nước bao gồm các khoản chi như là: Chi đầu tư phát triển; Chi dự trữ quốc gia; Chi thường xuyên; Chi trả nợ lãi; Chi viện trợ và các khoản chi khác theo quy định của pháp luật</w:t>
      </w:r>
      <w:r w:rsidRPr="006545AD">
        <w:rPr>
          <w:rFonts w:ascii="Times New Roman" w:eastAsia="Times New Roman" w:hAnsi="Times New Roman" w:cs="Times New Roman"/>
          <w:sz w:val="28"/>
          <w:szCs w:val="28"/>
        </w:rPr>
        <w:t>.</w:t>
      </w:r>
    </w:p>
    <w:p w14:paraId="541F51B2" w14:textId="77777777" w:rsidR="00F408D5" w:rsidRPr="006545AD" w:rsidRDefault="003E60C8" w:rsidP="00923EF8">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Tỷ lệ chi đầu tư công xanh so với Tổng chi ngân sách nhà nước được đo bằng công thức sau:</w:t>
      </w:r>
    </w:p>
    <w:tbl>
      <w:tblPr>
        <w:tblStyle w:val="15"/>
        <w:tblW w:w="5000" w:type="pct"/>
        <w:jc w:val="center"/>
        <w:tblBorders>
          <w:top w:val="nil"/>
          <w:left w:val="nil"/>
          <w:bottom w:val="nil"/>
          <w:right w:val="nil"/>
          <w:insideH w:val="nil"/>
          <w:insideV w:val="nil"/>
        </w:tblBorders>
        <w:tblLook w:val="0600" w:firstRow="0" w:lastRow="0" w:firstColumn="0" w:lastColumn="0" w:noHBand="1" w:noVBand="1"/>
      </w:tblPr>
      <w:tblGrid>
        <w:gridCol w:w="3261"/>
        <w:gridCol w:w="709"/>
        <w:gridCol w:w="4235"/>
        <w:gridCol w:w="867"/>
      </w:tblGrid>
      <w:tr w:rsidR="00DA5E36" w:rsidRPr="006545AD" w14:paraId="3AF01AB1" w14:textId="77777777" w:rsidTr="005725BC">
        <w:trPr>
          <w:trHeight w:val="551"/>
          <w:jc w:val="center"/>
        </w:trPr>
        <w:tc>
          <w:tcPr>
            <w:tcW w:w="1797" w:type="pct"/>
            <w:vMerge w:val="restart"/>
            <w:tcBorders>
              <w:top w:val="nil"/>
              <w:left w:val="nil"/>
              <w:bottom w:val="nil"/>
              <w:right w:val="nil"/>
            </w:tcBorders>
            <w:tcMar>
              <w:top w:w="100" w:type="dxa"/>
              <w:left w:w="100" w:type="dxa"/>
              <w:bottom w:w="100" w:type="dxa"/>
              <w:right w:w="100" w:type="dxa"/>
            </w:tcMar>
            <w:vAlign w:val="center"/>
          </w:tcPr>
          <w:p w14:paraId="508DF91F" w14:textId="77777777" w:rsidR="00DA5E36" w:rsidRPr="006545AD" w:rsidRDefault="00DA5E36"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chi đầu t</w:t>
            </w:r>
            <w:r w:rsidR="0041568A" w:rsidRPr="006545AD">
              <w:rPr>
                <w:rFonts w:ascii="Times New Roman" w:eastAsia="Times New Roman" w:hAnsi="Times New Roman" w:cs="Times New Roman"/>
                <w:sz w:val="28"/>
                <w:szCs w:val="28"/>
              </w:rPr>
              <w:t>ư công xanh so với Tổng chi Ngân sách Nhà nước</w:t>
            </w:r>
            <w:r w:rsidRPr="006545AD">
              <w:rPr>
                <w:rFonts w:ascii="Times New Roman" w:eastAsia="Times New Roman" w:hAnsi="Times New Roman" w:cs="Times New Roman"/>
                <w:sz w:val="28"/>
                <w:szCs w:val="28"/>
              </w:rPr>
              <w:t xml:space="preserve"> (%)</w:t>
            </w:r>
          </w:p>
        </w:tc>
        <w:tc>
          <w:tcPr>
            <w:tcW w:w="391" w:type="pct"/>
            <w:vMerge w:val="restart"/>
            <w:tcBorders>
              <w:top w:val="nil"/>
              <w:left w:val="nil"/>
              <w:bottom w:val="nil"/>
              <w:right w:val="nil"/>
            </w:tcBorders>
            <w:tcMar>
              <w:top w:w="100" w:type="dxa"/>
              <w:left w:w="100" w:type="dxa"/>
              <w:bottom w:w="100" w:type="dxa"/>
              <w:right w:w="100" w:type="dxa"/>
            </w:tcMar>
            <w:vAlign w:val="center"/>
          </w:tcPr>
          <w:p w14:paraId="719B03D5" w14:textId="77777777" w:rsidR="00DA5E36" w:rsidRPr="006545AD" w:rsidRDefault="00DA5E36"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334" w:type="pct"/>
            <w:tcBorders>
              <w:top w:val="nil"/>
              <w:left w:val="nil"/>
              <w:bottom w:val="single" w:sz="8" w:space="0" w:color="000000"/>
              <w:right w:val="nil"/>
            </w:tcBorders>
            <w:tcMar>
              <w:top w:w="100" w:type="dxa"/>
              <w:left w:w="100" w:type="dxa"/>
              <w:bottom w:w="100" w:type="dxa"/>
              <w:right w:w="100" w:type="dxa"/>
            </w:tcMar>
            <w:vAlign w:val="center"/>
          </w:tcPr>
          <w:p w14:paraId="62EEFFF5" w14:textId="77777777" w:rsidR="00DA5E36" w:rsidRPr="006545AD" w:rsidRDefault="00DA5E36"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Chi đầu tư công xanh thực hiện</w:t>
            </w:r>
          </w:p>
        </w:tc>
        <w:tc>
          <w:tcPr>
            <w:tcW w:w="478" w:type="pct"/>
            <w:vMerge w:val="restart"/>
            <w:tcBorders>
              <w:top w:val="nil"/>
              <w:left w:val="nil"/>
              <w:bottom w:val="nil"/>
              <w:right w:val="nil"/>
            </w:tcBorders>
            <w:tcMar>
              <w:top w:w="100" w:type="dxa"/>
              <w:left w:w="100" w:type="dxa"/>
              <w:bottom w:w="100" w:type="dxa"/>
              <w:right w:w="100" w:type="dxa"/>
            </w:tcMar>
            <w:vAlign w:val="center"/>
          </w:tcPr>
          <w:p w14:paraId="05DE4455" w14:textId="77777777" w:rsidR="00DA5E36" w:rsidRPr="006545AD" w:rsidRDefault="00DA5E36" w:rsidP="005B04E9">
            <w:pPr>
              <w:spacing w:before="60" w:after="60" w:line="360" w:lineRule="exact"/>
              <w:jc w:val="center"/>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w:t>
            </w:r>
            <w:r w:rsidRPr="006545AD">
              <w:rPr>
                <w:rFonts w:ascii="Times New Roman" w:eastAsia="Times New Roman" w:hAnsi="Times New Roman" w:cs="Times New Roman"/>
                <w:sz w:val="28"/>
                <w:szCs w:val="28"/>
              </w:rPr>
              <w:t xml:space="preserve"> 100</w:t>
            </w:r>
          </w:p>
        </w:tc>
      </w:tr>
      <w:tr w:rsidR="00DA5E36" w:rsidRPr="006545AD" w14:paraId="1DB2BA53" w14:textId="77777777" w:rsidTr="005725BC">
        <w:trPr>
          <w:trHeight w:val="376"/>
          <w:jc w:val="center"/>
        </w:trPr>
        <w:tc>
          <w:tcPr>
            <w:tcW w:w="1797" w:type="pct"/>
            <w:vMerge/>
            <w:tcBorders>
              <w:bottom w:val="nil"/>
              <w:right w:val="nil"/>
            </w:tcBorders>
            <w:shd w:val="clear" w:color="auto" w:fill="auto"/>
            <w:tcMar>
              <w:top w:w="100" w:type="dxa"/>
              <w:left w:w="100" w:type="dxa"/>
              <w:bottom w:w="100" w:type="dxa"/>
              <w:right w:w="100" w:type="dxa"/>
            </w:tcMar>
            <w:vAlign w:val="center"/>
          </w:tcPr>
          <w:p w14:paraId="283CB96A" w14:textId="77777777" w:rsidR="00DA5E36" w:rsidRPr="006545AD" w:rsidRDefault="00DA5E36" w:rsidP="005B04E9">
            <w:pPr>
              <w:spacing w:before="60" w:after="60" w:line="360" w:lineRule="exact"/>
              <w:jc w:val="both"/>
              <w:rPr>
                <w:rFonts w:ascii="Times New Roman" w:eastAsia="Times New Roman" w:hAnsi="Times New Roman" w:cs="Times New Roman"/>
                <w:b/>
                <w:sz w:val="28"/>
                <w:szCs w:val="28"/>
              </w:rPr>
            </w:pPr>
          </w:p>
        </w:tc>
        <w:tc>
          <w:tcPr>
            <w:tcW w:w="391" w:type="pct"/>
            <w:vMerge/>
            <w:tcBorders>
              <w:bottom w:val="nil"/>
              <w:right w:val="nil"/>
            </w:tcBorders>
            <w:shd w:val="clear" w:color="auto" w:fill="auto"/>
            <w:tcMar>
              <w:top w:w="100" w:type="dxa"/>
              <w:left w:w="100" w:type="dxa"/>
              <w:bottom w:w="100" w:type="dxa"/>
              <w:right w:w="100" w:type="dxa"/>
            </w:tcMar>
            <w:vAlign w:val="center"/>
          </w:tcPr>
          <w:p w14:paraId="3CA1EB6E" w14:textId="77777777" w:rsidR="00DA5E36" w:rsidRPr="006545AD" w:rsidRDefault="00DA5E36" w:rsidP="005B04E9">
            <w:pPr>
              <w:spacing w:before="60" w:after="60" w:line="360" w:lineRule="exact"/>
              <w:jc w:val="both"/>
              <w:rPr>
                <w:rFonts w:ascii="Times New Roman" w:eastAsia="Times New Roman" w:hAnsi="Times New Roman" w:cs="Times New Roman"/>
                <w:b/>
                <w:sz w:val="28"/>
                <w:szCs w:val="28"/>
              </w:rPr>
            </w:pPr>
          </w:p>
        </w:tc>
        <w:tc>
          <w:tcPr>
            <w:tcW w:w="2334" w:type="pct"/>
            <w:tcBorders>
              <w:top w:val="nil"/>
              <w:left w:val="nil"/>
              <w:bottom w:val="nil"/>
              <w:right w:val="nil"/>
            </w:tcBorders>
            <w:shd w:val="clear" w:color="auto" w:fill="auto"/>
            <w:tcMar>
              <w:top w:w="100" w:type="dxa"/>
              <w:left w:w="100" w:type="dxa"/>
              <w:bottom w:w="100" w:type="dxa"/>
              <w:right w:w="100" w:type="dxa"/>
            </w:tcMar>
            <w:vAlign w:val="center"/>
          </w:tcPr>
          <w:p w14:paraId="2AD19F39" w14:textId="77777777" w:rsidR="00DA5E36" w:rsidRPr="006545AD" w:rsidRDefault="00DA5E36" w:rsidP="005B04E9">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chi </w:t>
            </w:r>
            <w:r w:rsidR="0041568A" w:rsidRPr="006545AD">
              <w:rPr>
                <w:rFonts w:ascii="Times New Roman" w:eastAsia="Times New Roman" w:hAnsi="Times New Roman" w:cs="Times New Roman"/>
                <w:sz w:val="28"/>
                <w:szCs w:val="28"/>
              </w:rPr>
              <w:t>Ngân sách Nhà nước</w:t>
            </w:r>
          </w:p>
        </w:tc>
        <w:tc>
          <w:tcPr>
            <w:tcW w:w="478" w:type="pct"/>
            <w:vMerge/>
            <w:tcBorders>
              <w:bottom w:val="nil"/>
              <w:right w:val="nil"/>
            </w:tcBorders>
            <w:shd w:val="clear" w:color="auto" w:fill="auto"/>
            <w:tcMar>
              <w:top w:w="100" w:type="dxa"/>
              <w:left w:w="100" w:type="dxa"/>
              <w:bottom w:w="100" w:type="dxa"/>
              <w:right w:w="100" w:type="dxa"/>
            </w:tcMar>
            <w:vAlign w:val="center"/>
          </w:tcPr>
          <w:p w14:paraId="46D61364" w14:textId="77777777" w:rsidR="00DA5E36" w:rsidRPr="006545AD" w:rsidRDefault="00DA5E36" w:rsidP="005B04E9">
            <w:pPr>
              <w:spacing w:before="60" w:after="60" w:line="360" w:lineRule="exact"/>
              <w:jc w:val="both"/>
              <w:rPr>
                <w:rFonts w:ascii="Times New Roman" w:eastAsia="Times New Roman" w:hAnsi="Times New Roman" w:cs="Times New Roman"/>
                <w:b/>
                <w:sz w:val="28"/>
                <w:szCs w:val="28"/>
              </w:rPr>
            </w:pPr>
          </w:p>
        </w:tc>
      </w:tr>
    </w:tbl>
    <w:p w14:paraId="2FC2711A" w14:textId="5E88BF6D" w:rsidR="00C03E9A" w:rsidRPr="006545AD" w:rsidRDefault="00C03E9A" w:rsidP="005725BC">
      <w:pPr>
        <w:spacing w:before="60" w:after="60" w:line="350" w:lineRule="exact"/>
        <w:ind w:firstLine="720"/>
        <w:jc w:val="both"/>
        <w:rPr>
          <w:rFonts w:ascii="Times New Roman" w:eastAsia="Times New Roman" w:hAnsi="Times New Roman" w:cs="Times New Roman"/>
          <w:i/>
          <w:sz w:val="28"/>
          <w:szCs w:val="28"/>
        </w:rPr>
      </w:pPr>
      <w:r w:rsidRPr="006545AD">
        <w:rPr>
          <w:rFonts w:ascii="Times New Roman" w:eastAsia="Times New Roman" w:hAnsi="Times New Roman" w:cs="Times New Roman"/>
          <w:i/>
          <w:sz w:val="28"/>
          <w:szCs w:val="28"/>
        </w:rPr>
        <w:t>Lưu ý</w:t>
      </w:r>
      <w:r w:rsidRPr="009E1776">
        <w:rPr>
          <w:rFonts w:ascii="Times New Roman" w:eastAsia="Times New Roman" w:hAnsi="Times New Roman" w:cs="Times New Roman"/>
          <w:i/>
          <w:iCs/>
          <w:sz w:val="28"/>
          <w:szCs w:val="28"/>
          <w:lang w:val="en-US"/>
        </w:rPr>
        <w:t>: Số liệu sử dụng là số ước thực hiện và số quyết toán</w:t>
      </w:r>
      <w:r w:rsidR="000127B4" w:rsidRPr="009E1776">
        <w:rPr>
          <w:rFonts w:ascii="Times New Roman" w:eastAsia="Times New Roman" w:hAnsi="Times New Roman" w:cs="Times New Roman"/>
          <w:i/>
          <w:iCs/>
          <w:sz w:val="28"/>
          <w:szCs w:val="28"/>
          <w:lang w:val="en-US"/>
        </w:rPr>
        <w:t xml:space="preserve">; </w:t>
      </w:r>
      <w:r w:rsidR="000127B4" w:rsidRPr="006545AD">
        <w:rPr>
          <w:rFonts w:ascii="Times New Roman" w:eastAsia="Times New Roman" w:hAnsi="Times New Roman" w:cs="Times New Roman"/>
          <w:i/>
          <w:iCs/>
          <w:sz w:val="28"/>
          <w:szCs w:val="28"/>
          <w:lang w:val="en-US"/>
        </w:rPr>
        <w:t>thời điểm báo cáo sẽ quy định trong các văn bản hướng dẫn.</w:t>
      </w:r>
    </w:p>
    <w:p w14:paraId="6CA2B134" w14:textId="77777777" w:rsidR="00F408D5"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38751ACB"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Nguồn vốn đầu tư;</w:t>
      </w:r>
    </w:p>
    <w:p w14:paraId="7F919DCE"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Theo ngành kinh tế;</w:t>
      </w:r>
    </w:p>
    <w:p w14:paraId="105FF3A8" w14:textId="77777777" w:rsidR="00F408D5" w:rsidRPr="006545AD" w:rsidRDefault="006E7C70" w:rsidP="005725BC">
      <w:pPr>
        <w:spacing w:before="60" w:after="6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4C132569" w14:textId="51C68B63" w:rsidR="00F408D5"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3. Kỳ công bố:</w:t>
      </w:r>
      <w:r w:rsidR="00DA5E36"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Năm</w:t>
      </w:r>
      <w:r w:rsidR="00C03E9A" w:rsidRPr="006545AD">
        <w:rPr>
          <w:rFonts w:ascii="Times New Roman" w:eastAsia="Times New Roman" w:hAnsi="Times New Roman" w:cs="Times New Roman"/>
          <w:sz w:val="28"/>
          <w:szCs w:val="28"/>
        </w:rPr>
        <w:t>.</w:t>
      </w:r>
    </w:p>
    <w:p w14:paraId="158EFB86" w14:textId="48DE3EEA" w:rsidR="00F408D5" w:rsidRPr="006545AD" w:rsidRDefault="006E7C70" w:rsidP="005725BC">
      <w:pPr>
        <w:spacing w:before="60" w:after="6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r w:rsidR="00DA5E36"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Dữ liệu hành chính</w:t>
      </w:r>
      <w:r w:rsidR="00C03E9A" w:rsidRPr="006545AD">
        <w:rPr>
          <w:rFonts w:ascii="Times New Roman" w:eastAsia="Times New Roman" w:hAnsi="Times New Roman" w:cs="Times New Roman"/>
          <w:sz w:val="28"/>
          <w:szCs w:val="28"/>
        </w:rPr>
        <w:t>.</w:t>
      </w:r>
    </w:p>
    <w:p w14:paraId="2953F702" w14:textId="56BB7A07" w:rsidR="00F408D5" w:rsidRPr="009E1776" w:rsidRDefault="006E7C70" w:rsidP="005725BC">
      <w:pPr>
        <w:spacing w:before="60" w:after="60" w:line="350" w:lineRule="exact"/>
        <w:ind w:firstLine="720"/>
        <w:jc w:val="both"/>
        <w:rPr>
          <w:rFonts w:ascii="Times New Roman" w:eastAsia="Times New Roman" w:hAnsi="Times New Roman" w:cs="Times New Roman"/>
          <w:b/>
          <w:sz w:val="28"/>
          <w:szCs w:val="28"/>
        </w:rPr>
      </w:pPr>
      <w:r w:rsidRPr="009E1776">
        <w:rPr>
          <w:rFonts w:ascii="Times New Roman" w:eastAsia="Times New Roman" w:hAnsi="Times New Roman" w:cs="Times New Roman"/>
          <w:b/>
          <w:sz w:val="28"/>
          <w:szCs w:val="28"/>
        </w:rPr>
        <w:t>5. Cơ quan chịu trách nhiệm thu thập, tổng hợp:</w:t>
      </w:r>
      <w:r w:rsidR="00DA5E36" w:rsidRPr="009E1776">
        <w:rPr>
          <w:rFonts w:ascii="Times New Roman" w:eastAsia="Times New Roman" w:hAnsi="Times New Roman" w:cs="Times New Roman"/>
          <w:b/>
          <w:sz w:val="28"/>
          <w:szCs w:val="28"/>
        </w:rPr>
        <w:t xml:space="preserve"> </w:t>
      </w:r>
      <w:r w:rsidRPr="009E1776">
        <w:rPr>
          <w:rFonts w:ascii="Times New Roman" w:eastAsia="Times New Roman" w:hAnsi="Times New Roman" w:cs="Times New Roman"/>
          <w:sz w:val="28"/>
          <w:szCs w:val="28"/>
        </w:rPr>
        <w:t xml:space="preserve">Bộ </w:t>
      </w:r>
      <w:r w:rsidR="007F290C" w:rsidRPr="009E1776">
        <w:rPr>
          <w:rFonts w:ascii="Times New Roman" w:eastAsia="Times New Roman" w:hAnsi="Times New Roman" w:cs="Times New Roman"/>
          <w:sz w:val="28"/>
          <w:szCs w:val="28"/>
        </w:rPr>
        <w:t>Kế hoạch và Đầu tư</w:t>
      </w:r>
      <w:r w:rsidR="00C574CF" w:rsidRPr="009E1776">
        <w:rPr>
          <w:rFonts w:ascii="Times New Roman" w:eastAsia="Times New Roman" w:hAnsi="Times New Roman" w:cs="Times New Roman"/>
          <w:sz w:val="28"/>
          <w:szCs w:val="28"/>
        </w:rPr>
        <w:t xml:space="preserve"> (Vụ Khoa học, giáo dục, tài nguyên và môi trường).</w:t>
      </w:r>
    </w:p>
    <w:p w14:paraId="1537CB77" w14:textId="17B78DC8" w:rsidR="00F408D5" w:rsidRPr="006545AD" w:rsidRDefault="00DA5E36"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836A4E" w:rsidRPr="006545AD">
        <w:rPr>
          <w:rFonts w:ascii="Times New Roman" w:eastAsia="Times New Roman" w:hAnsi="Times New Roman" w:cs="Times New Roman"/>
          <w:b/>
          <w:sz w:val="28"/>
          <w:szCs w:val="28"/>
        </w:rPr>
        <w:t>3.1</w:t>
      </w:r>
      <w:r w:rsidR="009E10CA" w:rsidRPr="006545AD">
        <w:rPr>
          <w:rFonts w:ascii="Times New Roman" w:eastAsia="Times New Roman" w:hAnsi="Times New Roman" w:cs="Times New Roman"/>
          <w:b/>
          <w:sz w:val="28"/>
          <w:szCs w:val="28"/>
        </w:rPr>
        <w:t>0</w:t>
      </w:r>
      <w:r w:rsidR="006E7C70" w:rsidRPr="006545AD">
        <w:rPr>
          <w:rFonts w:ascii="Times New Roman" w:eastAsia="Times New Roman" w:hAnsi="Times New Roman" w:cs="Times New Roman"/>
          <w:b/>
          <w:sz w:val="28"/>
          <w:szCs w:val="28"/>
        </w:rPr>
        <w:t>. Tỷ lệ mua sắm công xanh so với tổng mua sắm công</w:t>
      </w:r>
    </w:p>
    <w:p w14:paraId="18854F80" w14:textId="77777777" w:rsidR="00DA5E36" w:rsidRPr="006545AD" w:rsidRDefault="00DA5E36" w:rsidP="005725BC">
      <w:pPr>
        <w:spacing w:before="60" w:after="6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4D47AEFA" w14:textId="77777777" w:rsidR="00F408D5" w:rsidRPr="006545AD" w:rsidRDefault="00DA5E36" w:rsidP="00463675">
      <w:pPr>
        <w:spacing w:before="30" w:after="3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sz w:val="28"/>
          <w:szCs w:val="28"/>
        </w:rPr>
        <w:t>Mua sắm công xanh là hoạt động mua sắm sử dụng vốn nhà nước đối với các sản phẩm hàng hóa và dịch vụ thân thiện môi trường được công nhận theo quy định của pháp luật.</w:t>
      </w:r>
    </w:p>
    <w:p w14:paraId="52107F9E" w14:textId="77777777" w:rsidR="00F408D5" w:rsidRPr="006545AD" w:rsidRDefault="00DA5E36" w:rsidP="00463675">
      <w:pPr>
        <w:spacing w:before="30" w:after="3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Nguyên tắc cơ bản xác định mua sắm công xanh:</w:t>
      </w:r>
    </w:p>
    <w:p w14:paraId="5DFC9F39" w14:textId="77777777" w:rsidR="00F408D5" w:rsidRPr="006545AD" w:rsidRDefault="00DA5E36" w:rsidP="00463675">
      <w:pPr>
        <w:spacing w:before="30" w:after="3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Tính cần thiết: Xác định tính cần thiết của sản phẩm hàng hóa và dịch vụ để đáp ứng nhu cầu sử dụng. Việc sửa chữa hay thay đổi nên được cân nhắc đối với các sản phẩm đang được sử dụng. Bên cạnh đó, giải pháp thuê hoặc cho thuê cũng nên được xem xét</w:t>
      </w:r>
      <w:r w:rsidR="00847C20" w:rsidRPr="006545AD">
        <w:rPr>
          <w:rFonts w:ascii="Times New Roman" w:eastAsia="Times New Roman" w:hAnsi="Times New Roman" w:cs="Times New Roman"/>
          <w:sz w:val="28"/>
          <w:szCs w:val="28"/>
        </w:rPr>
        <w:t>;</w:t>
      </w:r>
    </w:p>
    <w:p w14:paraId="3F752AD8" w14:textId="77777777" w:rsidR="00F408D5" w:rsidRPr="006545AD" w:rsidRDefault="00DA5E36" w:rsidP="00463675">
      <w:pPr>
        <w:spacing w:before="30" w:after="3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z w:val="28"/>
          <w:szCs w:val="28"/>
        </w:rPr>
        <w:t>- Vòng đời của sản phẩm: Khi quyết định mua, các tác động khác nhau tới môi trường trong suốt vòng đời của sản phẩm, từ giai đoạn thu mua nguyên liệu thô cho tới khi sản phẩm bị thải bỏ, cần xem xét các đặc tính như: giảm thiểu các chất độc hại, sử dụng hiệu quả tài nguyên, năng lượng, tăng độ bền hàng hóa và dịch vụ, sản phẩm phải được thiết kế để tái sử dụng…</w:t>
      </w:r>
      <w:r w:rsidR="00847C20" w:rsidRPr="006545AD">
        <w:rPr>
          <w:rFonts w:ascii="Times New Roman" w:eastAsia="Times New Roman" w:hAnsi="Times New Roman" w:cs="Times New Roman"/>
          <w:sz w:val="28"/>
          <w:szCs w:val="28"/>
        </w:rPr>
        <w:t>;</w:t>
      </w:r>
    </w:p>
    <w:p w14:paraId="0CF971D8" w14:textId="77777777" w:rsidR="00F408D5" w:rsidRPr="006545AD" w:rsidRDefault="00DA5E36" w:rsidP="00463675">
      <w:pPr>
        <w:spacing w:before="30" w:after="3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r>
      <w:r w:rsidR="006E7C70" w:rsidRPr="006545AD">
        <w:rPr>
          <w:rFonts w:ascii="Times New Roman" w:eastAsia="Times New Roman" w:hAnsi="Times New Roman" w:cs="Times New Roman"/>
          <w:sz w:val="28"/>
          <w:szCs w:val="28"/>
        </w:rPr>
        <w:t>- Nỗ lực của nhà cung cấp hàng hóa và dịch vụ: Ngoài việc đánh giá sản phẩm, Nhà nước cũng cần đánh giá đến hoạt động bảo vệ môi trường của các nhà cung cấp như: đơn vị cung cấp có áp dụng các chính sách về môi trường, triển khai các biện pháp quản lý môi trường phù hợp hay không?</w:t>
      </w:r>
    </w:p>
    <w:p w14:paraId="589128FC" w14:textId="77777777" w:rsidR="00F408D5" w:rsidRPr="006545AD" w:rsidRDefault="00DA5E36" w:rsidP="00463675">
      <w:pPr>
        <w:spacing w:before="30" w:after="3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006E7C70" w:rsidRPr="006545AD">
        <w:rPr>
          <w:rFonts w:ascii="Times New Roman" w:eastAsia="Times New Roman" w:hAnsi="Times New Roman" w:cs="Times New Roman"/>
          <w:spacing w:val="-4"/>
          <w:sz w:val="28"/>
          <w:szCs w:val="28"/>
        </w:rPr>
        <w:t>- Thu thập thông tin về môi trường: Trước khi mua một sản phẩm, Nhà nước cần quan tâm đến những thông tin về môi trường như: các nhãn mác sản phẩm hàng hóa và dịch vụ thân thiện với môi trường, thông tin của đơn vị cung cấp…</w:t>
      </w:r>
      <w:r w:rsidR="00847C20" w:rsidRPr="006545AD">
        <w:rPr>
          <w:rFonts w:ascii="Times New Roman" w:eastAsia="Times New Roman" w:hAnsi="Times New Roman" w:cs="Times New Roman"/>
          <w:spacing w:val="-4"/>
          <w:sz w:val="28"/>
          <w:szCs w:val="28"/>
        </w:rPr>
        <w:t>;</w:t>
      </w:r>
    </w:p>
    <w:p w14:paraId="53DE2A41" w14:textId="77777777" w:rsidR="00F408D5" w:rsidRPr="006545AD" w:rsidRDefault="006E7C70" w:rsidP="00463675">
      <w:pPr>
        <w:spacing w:before="30" w:after="3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Tổng mua sắm công là hoạt động mua sắm sử dụng vốn của nhà nước đối với các sản phẩm hàng hóa và dịch vụ nhằm đáp ứng cho hoạt động của cơ quan quản lý nhà nước.</w:t>
      </w:r>
    </w:p>
    <w:p w14:paraId="0D07F03C" w14:textId="77777777" w:rsidR="00DA5E36" w:rsidRPr="006545AD" w:rsidRDefault="00DA5E36" w:rsidP="00463675">
      <w:pPr>
        <w:spacing w:before="30" w:after="3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Công thức tính</w:t>
      </w:r>
    </w:p>
    <w:tbl>
      <w:tblPr>
        <w:tblStyle w:val="15"/>
        <w:tblW w:w="5000" w:type="pct"/>
        <w:jc w:val="center"/>
        <w:tblBorders>
          <w:top w:val="nil"/>
          <w:left w:val="nil"/>
          <w:bottom w:val="nil"/>
          <w:right w:val="nil"/>
          <w:insideH w:val="nil"/>
          <w:insideV w:val="nil"/>
        </w:tblBorders>
        <w:tblLook w:val="0600" w:firstRow="0" w:lastRow="0" w:firstColumn="0" w:lastColumn="0" w:noHBand="1" w:noVBand="1"/>
      </w:tblPr>
      <w:tblGrid>
        <w:gridCol w:w="2993"/>
        <w:gridCol w:w="650"/>
        <w:gridCol w:w="4560"/>
        <w:gridCol w:w="869"/>
      </w:tblGrid>
      <w:tr w:rsidR="00DA5E36" w:rsidRPr="006545AD" w14:paraId="6B98E8F3" w14:textId="77777777" w:rsidTr="00847C20">
        <w:trPr>
          <w:trHeight w:val="551"/>
          <w:jc w:val="center"/>
        </w:trPr>
        <w:tc>
          <w:tcPr>
            <w:tcW w:w="1650" w:type="pct"/>
            <w:vMerge w:val="restart"/>
            <w:tcBorders>
              <w:top w:val="nil"/>
              <w:left w:val="nil"/>
              <w:bottom w:val="nil"/>
              <w:right w:val="nil"/>
            </w:tcBorders>
            <w:tcMar>
              <w:top w:w="100" w:type="dxa"/>
              <w:left w:w="100" w:type="dxa"/>
              <w:bottom w:w="100" w:type="dxa"/>
              <w:right w:w="100" w:type="dxa"/>
            </w:tcMar>
            <w:vAlign w:val="center"/>
          </w:tcPr>
          <w:p w14:paraId="0497E180" w14:textId="77777777" w:rsidR="00DA5E36" w:rsidRPr="006545AD" w:rsidRDefault="00DA5E36" w:rsidP="00463675">
            <w:pPr>
              <w:spacing w:before="30" w:after="3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mua sắm công xanh so với Tổng mua sắm công (%)</w:t>
            </w:r>
          </w:p>
        </w:tc>
        <w:tc>
          <w:tcPr>
            <w:tcW w:w="358" w:type="pct"/>
            <w:vMerge w:val="restart"/>
            <w:tcBorders>
              <w:top w:val="nil"/>
              <w:left w:val="nil"/>
              <w:bottom w:val="nil"/>
              <w:right w:val="nil"/>
            </w:tcBorders>
            <w:tcMar>
              <w:top w:w="100" w:type="dxa"/>
              <w:left w:w="100" w:type="dxa"/>
              <w:bottom w:w="100" w:type="dxa"/>
              <w:right w:w="100" w:type="dxa"/>
            </w:tcMar>
            <w:vAlign w:val="center"/>
          </w:tcPr>
          <w:p w14:paraId="51B2ABB6" w14:textId="77777777" w:rsidR="00DA5E36" w:rsidRPr="006545AD" w:rsidRDefault="00DA5E36" w:rsidP="00463675">
            <w:pPr>
              <w:spacing w:before="30" w:after="3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513" w:type="pct"/>
            <w:tcBorders>
              <w:top w:val="nil"/>
              <w:left w:val="nil"/>
              <w:bottom w:val="single" w:sz="8" w:space="0" w:color="000000"/>
              <w:right w:val="nil"/>
            </w:tcBorders>
            <w:tcMar>
              <w:top w:w="100" w:type="dxa"/>
              <w:left w:w="100" w:type="dxa"/>
              <w:bottom w:w="100" w:type="dxa"/>
              <w:right w:w="100" w:type="dxa"/>
            </w:tcMar>
            <w:vAlign w:val="center"/>
          </w:tcPr>
          <w:p w14:paraId="4E725882" w14:textId="77777777" w:rsidR="00DA5E36" w:rsidRPr="006545AD" w:rsidRDefault="00DA5E36" w:rsidP="00463675">
            <w:pPr>
              <w:spacing w:before="30" w:after="3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Mua sắm công xanh thực hiện</w:t>
            </w:r>
          </w:p>
        </w:tc>
        <w:tc>
          <w:tcPr>
            <w:tcW w:w="479" w:type="pct"/>
            <w:vMerge w:val="restart"/>
            <w:tcBorders>
              <w:top w:val="nil"/>
              <w:left w:val="nil"/>
              <w:bottom w:val="nil"/>
              <w:right w:val="nil"/>
            </w:tcBorders>
            <w:tcMar>
              <w:top w:w="100" w:type="dxa"/>
              <w:left w:w="100" w:type="dxa"/>
              <w:bottom w:w="100" w:type="dxa"/>
              <w:right w:w="100" w:type="dxa"/>
            </w:tcMar>
            <w:vAlign w:val="center"/>
          </w:tcPr>
          <w:p w14:paraId="13BA4294" w14:textId="4A01F021" w:rsidR="00DA5E36" w:rsidRPr="006545AD" w:rsidRDefault="002B3F61" w:rsidP="00463675">
            <w:pPr>
              <w:spacing w:before="30" w:after="30" w:line="360" w:lineRule="exact"/>
              <w:jc w:val="center"/>
              <w:rPr>
                <w:rFonts w:ascii="Times New Roman" w:eastAsia="Times New Roman" w:hAnsi="Times New Roman" w:cs="Times New Roman"/>
                <w:b/>
                <w:sz w:val="28"/>
                <w:szCs w:val="28"/>
              </w:rPr>
            </w:pPr>
            <w:r w:rsidRPr="006545AD">
              <w:rPr>
                <w:sz w:val="26"/>
                <w:szCs w:val="26"/>
              </w:rPr>
              <w:t>×</w:t>
            </w:r>
            <w:r w:rsidR="00DA5E36" w:rsidRPr="006545AD">
              <w:rPr>
                <w:rFonts w:ascii="Times New Roman" w:eastAsia="Times New Roman" w:hAnsi="Times New Roman" w:cs="Times New Roman"/>
                <w:sz w:val="28"/>
                <w:szCs w:val="28"/>
              </w:rPr>
              <w:t xml:space="preserve"> 100</w:t>
            </w:r>
          </w:p>
        </w:tc>
      </w:tr>
      <w:tr w:rsidR="00DA5E36" w:rsidRPr="006545AD" w14:paraId="416A997C" w14:textId="77777777" w:rsidTr="00847C20">
        <w:trPr>
          <w:trHeight w:val="376"/>
          <w:jc w:val="center"/>
        </w:trPr>
        <w:tc>
          <w:tcPr>
            <w:tcW w:w="1650" w:type="pct"/>
            <w:vMerge/>
            <w:tcBorders>
              <w:bottom w:val="nil"/>
              <w:right w:val="nil"/>
            </w:tcBorders>
            <w:shd w:val="clear" w:color="auto" w:fill="auto"/>
            <w:tcMar>
              <w:top w:w="100" w:type="dxa"/>
              <w:left w:w="100" w:type="dxa"/>
              <w:bottom w:w="100" w:type="dxa"/>
              <w:right w:w="100" w:type="dxa"/>
            </w:tcMar>
            <w:vAlign w:val="center"/>
          </w:tcPr>
          <w:p w14:paraId="642DB387" w14:textId="77777777" w:rsidR="00DA5E36" w:rsidRPr="006545AD" w:rsidRDefault="00DA5E36" w:rsidP="00463675">
            <w:pPr>
              <w:spacing w:before="30" w:after="30" w:line="360" w:lineRule="exact"/>
              <w:jc w:val="both"/>
              <w:rPr>
                <w:rFonts w:ascii="Times New Roman" w:eastAsia="Times New Roman" w:hAnsi="Times New Roman" w:cs="Times New Roman"/>
                <w:b/>
                <w:sz w:val="28"/>
                <w:szCs w:val="28"/>
              </w:rPr>
            </w:pPr>
          </w:p>
        </w:tc>
        <w:tc>
          <w:tcPr>
            <w:tcW w:w="358" w:type="pct"/>
            <w:vMerge/>
            <w:tcBorders>
              <w:bottom w:val="nil"/>
              <w:right w:val="nil"/>
            </w:tcBorders>
            <w:shd w:val="clear" w:color="auto" w:fill="auto"/>
            <w:tcMar>
              <w:top w:w="100" w:type="dxa"/>
              <w:left w:w="100" w:type="dxa"/>
              <w:bottom w:w="100" w:type="dxa"/>
              <w:right w:w="100" w:type="dxa"/>
            </w:tcMar>
            <w:vAlign w:val="center"/>
          </w:tcPr>
          <w:p w14:paraId="484D289F" w14:textId="77777777" w:rsidR="00DA5E36" w:rsidRPr="006545AD" w:rsidRDefault="00DA5E36" w:rsidP="00463675">
            <w:pPr>
              <w:spacing w:before="30" w:after="30" w:line="360" w:lineRule="exact"/>
              <w:jc w:val="both"/>
              <w:rPr>
                <w:rFonts w:ascii="Times New Roman" w:eastAsia="Times New Roman" w:hAnsi="Times New Roman" w:cs="Times New Roman"/>
                <w:b/>
                <w:sz w:val="28"/>
                <w:szCs w:val="28"/>
              </w:rPr>
            </w:pPr>
          </w:p>
        </w:tc>
        <w:tc>
          <w:tcPr>
            <w:tcW w:w="2513" w:type="pct"/>
            <w:tcBorders>
              <w:top w:val="nil"/>
              <w:left w:val="nil"/>
              <w:bottom w:val="nil"/>
              <w:right w:val="nil"/>
            </w:tcBorders>
            <w:shd w:val="clear" w:color="auto" w:fill="auto"/>
            <w:tcMar>
              <w:top w:w="100" w:type="dxa"/>
              <w:left w:w="100" w:type="dxa"/>
              <w:bottom w:w="100" w:type="dxa"/>
              <w:right w:w="100" w:type="dxa"/>
            </w:tcMar>
            <w:vAlign w:val="center"/>
          </w:tcPr>
          <w:p w14:paraId="531C28CA" w14:textId="77777777" w:rsidR="00DA5E36" w:rsidRPr="006545AD" w:rsidRDefault="00DA5E36" w:rsidP="00463675">
            <w:pPr>
              <w:spacing w:before="30" w:after="3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mua sắm công</w:t>
            </w:r>
          </w:p>
        </w:tc>
        <w:tc>
          <w:tcPr>
            <w:tcW w:w="479" w:type="pct"/>
            <w:vMerge/>
            <w:tcBorders>
              <w:bottom w:val="nil"/>
              <w:right w:val="nil"/>
            </w:tcBorders>
            <w:shd w:val="clear" w:color="auto" w:fill="auto"/>
            <w:tcMar>
              <w:top w:w="100" w:type="dxa"/>
              <w:left w:w="100" w:type="dxa"/>
              <w:bottom w:w="100" w:type="dxa"/>
              <w:right w:w="100" w:type="dxa"/>
            </w:tcMar>
            <w:vAlign w:val="center"/>
          </w:tcPr>
          <w:p w14:paraId="7A559CBB" w14:textId="77777777" w:rsidR="00DA5E36" w:rsidRPr="006545AD" w:rsidRDefault="00DA5E36" w:rsidP="00463675">
            <w:pPr>
              <w:spacing w:before="30" w:after="30" w:line="360" w:lineRule="exact"/>
              <w:jc w:val="both"/>
              <w:rPr>
                <w:rFonts w:ascii="Times New Roman" w:eastAsia="Times New Roman" w:hAnsi="Times New Roman" w:cs="Times New Roman"/>
                <w:b/>
                <w:sz w:val="28"/>
                <w:szCs w:val="28"/>
              </w:rPr>
            </w:pPr>
          </w:p>
        </w:tc>
      </w:tr>
    </w:tbl>
    <w:p w14:paraId="3BCE4EF1" w14:textId="372F265B" w:rsidR="00702499" w:rsidRPr="009E1776" w:rsidRDefault="00702499" w:rsidP="009E1776">
      <w:pPr>
        <w:spacing w:before="60" w:after="60" w:line="350" w:lineRule="exact"/>
        <w:ind w:firstLine="720"/>
        <w:jc w:val="both"/>
        <w:rPr>
          <w:rFonts w:ascii="Times New Roman" w:eastAsia="Times New Roman" w:hAnsi="Times New Roman" w:cs="Times New Roman"/>
          <w:i/>
          <w:sz w:val="28"/>
          <w:szCs w:val="28"/>
        </w:rPr>
      </w:pPr>
      <w:r w:rsidRPr="006545AD">
        <w:rPr>
          <w:rFonts w:ascii="Times New Roman" w:eastAsia="Times New Roman" w:hAnsi="Times New Roman" w:cs="Times New Roman"/>
          <w:i/>
          <w:sz w:val="28"/>
          <w:szCs w:val="28"/>
        </w:rPr>
        <w:t>Lưu ý</w:t>
      </w:r>
      <w:r w:rsidRPr="006545AD">
        <w:rPr>
          <w:rFonts w:ascii="Times New Roman" w:eastAsia="Times New Roman" w:hAnsi="Times New Roman" w:cs="Times New Roman"/>
          <w:i/>
          <w:iCs/>
          <w:sz w:val="28"/>
          <w:szCs w:val="28"/>
          <w:lang w:val="en-US"/>
        </w:rPr>
        <w:t>: Số liệu sử dụng là số ước thực hiện và số quyết toán; thời điểm báo cáo sẽ quy định trong các văn bản hướng dẫn.</w:t>
      </w:r>
    </w:p>
    <w:p w14:paraId="318F0516" w14:textId="77777777" w:rsidR="00F408D5" w:rsidRPr="006545AD" w:rsidRDefault="006E7C70" w:rsidP="00463675">
      <w:pPr>
        <w:spacing w:before="30" w:after="3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56C2EB11" w14:textId="77777777" w:rsidR="00F408D5" w:rsidRPr="006545AD" w:rsidRDefault="006E7C70" w:rsidP="00463675">
      <w:pPr>
        <w:spacing w:before="30" w:after="3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sản phẩm hàng hóa và dịch vụ;</w:t>
      </w:r>
    </w:p>
    <w:p w14:paraId="0EC0CF5C" w14:textId="77777777" w:rsidR="00F408D5" w:rsidRPr="006545AD" w:rsidRDefault="00946878" w:rsidP="00463675">
      <w:pPr>
        <w:spacing w:before="30" w:after="30" w:line="35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w:t>
      </w:r>
      <w:r w:rsidR="006E7C70" w:rsidRPr="006545AD">
        <w:rPr>
          <w:rFonts w:ascii="Times New Roman" w:eastAsia="Times New Roman" w:hAnsi="Times New Roman" w:cs="Times New Roman"/>
          <w:sz w:val="28"/>
          <w:szCs w:val="28"/>
        </w:rPr>
        <w:t xml:space="preserve"> trực thuộc </w:t>
      </w:r>
      <w:r w:rsidR="00E9456D" w:rsidRPr="006545AD">
        <w:rPr>
          <w:rFonts w:ascii="Times New Roman" w:eastAsia="Times New Roman" w:hAnsi="Times New Roman" w:cs="Times New Roman"/>
          <w:sz w:val="28"/>
          <w:szCs w:val="28"/>
        </w:rPr>
        <w:t>Trung ương.</w:t>
      </w:r>
    </w:p>
    <w:p w14:paraId="15DFAA48" w14:textId="4ADA93AD" w:rsidR="00F408D5" w:rsidRPr="006545AD" w:rsidRDefault="006E7C70" w:rsidP="00463675">
      <w:pPr>
        <w:spacing w:before="30" w:after="3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3. Kỳ công bố:</w:t>
      </w:r>
      <w:r w:rsidR="00DA5E36"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Năm</w:t>
      </w:r>
      <w:r w:rsidR="00B81FE8" w:rsidRPr="006545AD">
        <w:rPr>
          <w:rFonts w:ascii="Times New Roman" w:eastAsia="Times New Roman" w:hAnsi="Times New Roman" w:cs="Times New Roman"/>
          <w:sz w:val="28"/>
          <w:szCs w:val="28"/>
        </w:rPr>
        <w:t>.</w:t>
      </w:r>
    </w:p>
    <w:p w14:paraId="409445ED" w14:textId="2C429B97" w:rsidR="00F408D5" w:rsidRPr="006545AD" w:rsidRDefault="006E7C70" w:rsidP="00463675">
      <w:pPr>
        <w:spacing w:before="30" w:after="3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r w:rsidR="00DA5E36"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Dữ liệu hành chính</w:t>
      </w:r>
      <w:r w:rsidR="00B81FE8" w:rsidRPr="006545AD">
        <w:rPr>
          <w:rFonts w:ascii="Times New Roman" w:eastAsia="Times New Roman" w:hAnsi="Times New Roman" w:cs="Times New Roman"/>
          <w:sz w:val="28"/>
          <w:szCs w:val="28"/>
        </w:rPr>
        <w:t>.</w:t>
      </w:r>
    </w:p>
    <w:p w14:paraId="134B70AA" w14:textId="1C037295" w:rsidR="00F408D5" w:rsidRPr="006545AD" w:rsidRDefault="006E7C70" w:rsidP="00463675">
      <w:pPr>
        <w:spacing w:before="30" w:after="30" w:line="35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r w:rsidR="00DA5E36" w:rsidRPr="006545AD">
        <w:rPr>
          <w:rFonts w:ascii="Times New Roman" w:eastAsia="Times New Roman" w:hAnsi="Times New Roman" w:cs="Times New Roman"/>
          <w:b/>
          <w:sz w:val="28"/>
          <w:szCs w:val="28"/>
        </w:rPr>
        <w:t xml:space="preserve"> </w:t>
      </w:r>
      <w:r w:rsidRPr="009E1776">
        <w:rPr>
          <w:rFonts w:ascii="Times New Roman" w:eastAsia="Times New Roman" w:hAnsi="Times New Roman" w:cs="Times New Roman"/>
          <w:sz w:val="28"/>
          <w:szCs w:val="28"/>
        </w:rPr>
        <w:t xml:space="preserve">Bộ </w:t>
      </w:r>
      <w:r w:rsidR="00F54586" w:rsidRPr="009E1776">
        <w:rPr>
          <w:rFonts w:ascii="Times New Roman" w:eastAsia="Times New Roman" w:hAnsi="Times New Roman" w:cs="Times New Roman"/>
          <w:sz w:val="28"/>
          <w:szCs w:val="28"/>
        </w:rPr>
        <w:t>Kế hoạch và Đầu tư (Cục Quản lý đầu thầu)</w:t>
      </w:r>
      <w:r w:rsidR="00B81FE8" w:rsidRPr="009E1776">
        <w:rPr>
          <w:rFonts w:ascii="Times New Roman" w:eastAsia="Times New Roman" w:hAnsi="Times New Roman" w:cs="Times New Roman"/>
          <w:sz w:val="28"/>
          <w:szCs w:val="28"/>
        </w:rPr>
        <w:t>.</w:t>
      </w:r>
    </w:p>
    <w:p w14:paraId="1215508B" w14:textId="786C71C7" w:rsidR="00C01618" w:rsidRPr="006545AD" w:rsidRDefault="00DA5E36" w:rsidP="00463675">
      <w:pPr>
        <w:spacing w:before="30" w:after="3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836A4E" w:rsidRPr="009D6BE0">
        <w:rPr>
          <w:rFonts w:ascii="Times New Roman" w:eastAsia="Times New Roman" w:hAnsi="Times New Roman" w:cs="Times New Roman"/>
          <w:b/>
          <w:sz w:val="28"/>
          <w:szCs w:val="28"/>
        </w:rPr>
        <w:t>3.1</w:t>
      </w:r>
      <w:r w:rsidR="009E10CA" w:rsidRPr="009D6BE0">
        <w:rPr>
          <w:rFonts w:ascii="Times New Roman" w:eastAsia="Times New Roman" w:hAnsi="Times New Roman" w:cs="Times New Roman"/>
          <w:b/>
          <w:sz w:val="28"/>
          <w:szCs w:val="28"/>
        </w:rPr>
        <w:t>1</w:t>
      </w:r>
      <w:r w:rsidR="0041568A" w:rsidRPr="009D6BE0">
        <w:rPr>
          <w:rFonts w:ascii="Times New Roman" w:eastAsia="Times New Roman" w:hAnsi="Times New Roman" w:cs="Times New Roman"/>
          <w:b/>
          <w:sz w:val="28"/>
          <w:szCs w:val="28"/>
        </w:rPr>
        <w:t xml:space="preserve">. </w:t>
      </w:r>
      <w:r w:rsidR="00C01618" w:rsidRPr="009D6BE0">
        <w:rPr>
          <w:rFonts w:ascii="Times New Roman" w:eastAsia="Times New Roman" w:hAnsi="Times New Roman" w:cs="Times New Roman"/>
          <w:b/>
          <w:sz w:val="28"/>
          <w:szCs w:val="28"/>
        </w:rPr>
        <w:t xml:space="preserve">Tỷ lệ chi sự nghiệp bảo vệ môi trường so với tổng chi </w:t>
      </w:r>
      <w:r w:rsidR="00397ED2" w:rsidRPr="009E1776">
        <w:rPr>
          <w:rFonts w:ascii="Times New Roman" w:eastAsia="Times New Roman" w:hAnsi="Times New Roman" w:cs="Times New Roman"/>
          <w:b/>
          <w:sz w:val="28"/>
          <w:szCs w:val="28"/>
        </w:rPr>
        <w:t>n</w:t>
      </w:r>
      <w:r w:rsidR="00C01618" w:rsidRPr="009D6BE0">
        <w:rPr>
          <w:rFonts w:ascii="Times New Roman" w:eastAsia="Times New Roman" w:hAnsi="Times New Roman" w:cs="Times New Roman"/>
          <w:b/>
          <w:sz w:val="28"/>
          <w:szCs w:val="28"/>
        </w:rPr>
        <w:t xml:space="preserve">gân sách </w:t>
      </w:r>
      <w:r w:rsidR="00397ED2" w:rsidRPr="009E1776">
        <w:rPr>
          <w:rFonts w:ascii="Times New Roman" w:eastAsia="Times New Roman" w:hAnsi="Times New Roman" w:cs="Times New Roman"/>
          <w:b/>
          <w:sz w:val="28"/>
          <w:szCs w:val="28"/>
        </w:rPr>
        <w:t>n</w:t>
      </w:r>
      <w:r w:rsidR="00C01618" w:rsidRPr="009D6BE0">
        <w:rPr>
          <w:rFonts w:ascii="Times New Roman" w:eastAsia="Times New Roman" w:hAnsi="Times New Roman" w:cs="Times New Roman"/>
          <w:b/>
          <w:sz w:val="28"/>
          <w:szCs w:val="28"/>
        </w:rPr>
        <w:t xml:space="preserve">hà nước </w:t>
      </w:r>
    </w:p>
    <w:p w14:paraId="51D1BFFF" w14:textId="56BF9978" w:rsidR="00C01618" w:rsidRPr="006545AD" w:rsidRDefault="00C01618" w:rsidP="00463675">
      <w:pPr>
        <w:spacing w:before="30" w:after="30" w:line="35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5CAD84FC" w14:textId="77777777" w:rsidR="0000538F" w:rsidRPr="006545AD" w:rsidRDefault="00C01618"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00538F" w:rsidRPr="006545AD">
        <w:rPr>
          <w:rFonts w:ascii="Times New Roman" w:eastAsia="Times New Roman" w:hAnsi="Times New Roman" w:cs="Times New Roman"/>
          <w:sz w:val="28"/>
          <w:szCs w:val="28"/>
        </w:rPr>
        <w:t>Chi sự nghiệp bảo vệ môi trường là toàn bộ các khoản chi thường xuyên từ ngân sách nhà nước để điều tra, quan trắc và phân tích môi trường; xử lý chất thải rắn, lỏng, khí; bảo tồn thiên nhiên và đa dạng sinh học; ứng phó với biến đổi khí hậu; bảo vệ môi trường khác</w:t>
      </w:r>
    </w:p>
    <w:p w14:paraId="07D39C8E"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Không bao gồm: Chi ngân sách cho hoạt động quản lý nhà nước tại Bộ Tài nguyên và Môi trường, Sở Tài nguyên và Môi trường, Phòng Tài nguyên và Môi trường; chi ngân sách cho các hoạt động đào tạo; chi hoạt động nghiên cứu khoa học.</w:t>
      </w:r>
    </w:p>
    <w:p w14:paraId="5C29A15E" w14:textId="2E0BFBBA" w:rsidR="0000538F" w:rsidRPr="006545AD" w:rsidRDefault="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Chi ngân sách nhà nước</w:t>
      </w:r>
      <w:r w:rsidR="00F17E83" w:rsidRPr="009E1776">
        <w:rPr>
          <w:rFonts w:ascii="Times New Roman" w:eastAsia="Times New Roman" w:hAnsi="Times New Roman" w:cs="Times New Roman"/>
          <w:sz w:val="28"/>
          <w:szCs w:val="28"/>
        </w:rPr>
        <w:t xml:space="preserve"> bao gồm các khoản chi như chi đầu tư phát triển, chi </w:t>
      </w:r>
      <w:r w:rsidR="00F17E83" w:rsidRPr="009E1776">
        <w:rPr>
          <w:rFonts w:ascii="Times New Roman" w:eastAsia="Times New Roman" w:hAnsi="Times New Roman" w:cs="Times New Roman"/>
          <w:sz w:val="28"/>
          <w:szCs w:val="28"/>
          <w:lang w:val="en-US"/>
        </w:rPr>
        <w:t>dự trữ quốc gia, chi thường xuyên, chi trả nợ lãi, chi viện trợ, các khoản chi khác theo quy định của pháp luật.</w:t>
      </w:r>
    </w:p>
    <w:p w14:paraId="44206C50"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t>Công thức tính</w:t>
      </w:r>
    </w:p>
    <w:tbl>
      <w:tblPr>
        <w:tblW w:w="4879" w:type="pct"/>
        <w:jc w:val="center"/>
        <w:tblBorders>
          <w:top w:val="nil"/>
          <w:left w:val="nil"/>
          <w:bottom w:val="nil"/>
          <w:right w:val="nil"/>
          <w:insideH w:val="nil"/>
          <w:insideV w:val="nil"/>
        </w:tblBorders>
        <w:tblLook w:val="0600" w:firstRow="0" w:lastRow="0" w:firstColumn="0" w:lastColumn="0" w:noHBand="1" w:noVBand="1"/>
      </w:tblPr>
      <w:tblGrid>
        <w:gridCol w:w="3087"/>
        <w:gridCol w:w="925"/>
        <w:gridCol w:w="3996"/>
        <w:gridCol w:w="844"/>
      </w:tblGrid>
      <w:tr w:rsidR="0000538F" w:rsidRPr="006545AD" w14:paraId="04C84D13" w14:textId="77777777" w:rsidTr="009E1776">
        <w:trPr>
          <w:trHeight w:val="683"/>
          <w:jc w:val="center"/>
        </w:trPr>
        <w:tc>
          <w:tcPr>
            <w:tcW w:w="1743" w:type="pct"/>
            <w:vMerge w:val="restart"/>
            <w:tcBorders>
              <w:top w:val="nil"/>
              <w:left w:val="nil"/>
              <w:bottom w:val="nil"/>
              <w:right w:val="nil"/>
            </w:tcBorders>
            <w:tcMar>
              <w:top w:w="100" w:type="dxa"/>
              <w:left w:w="100" w:type="dxa"/>
              <w:bottom w:w="100" w:type="dxa"/>
              <w:right w:w="100" w:type="dxa"/>
            </w:tcMar>
            <w:vAlign w:val="center"/>
          </w:tcPr>
          <w:p w14:paraId="2AE818BF" w14:textId="5EAB9F81" w:rsidR="0000538F" w:rsidRPr="006545AD" w:rsidRDefault="0000538F">
            <w:pPr>
              <w:spacing w:beforeLines="40" w:before="96" w:afterLines="40" w:after="96"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chi sự n</w:t>
            </w:r>
            <w:r w:rsidR="00C574CF">
              <w:rPr>
                <w:rFonts w:ascii="Times New Roman" w:eastAsia="Times New Roman" w:hAnsi="Times New Roman" w:cs="Times New Roman"/>
                <w:sz w:val="28"/>
                <w:szCs w:val="28"/>
              </w:rPr>
              <w:t>ghiệp bảo vệ môi trường so với tổng chi ngân sách n</w:t>
            </w:r>
            <w:r w:rsidRPr="006545AD">
              <w:rPr>
                <w:rFonts w:ascii="Times New Roman" w:eastAsia="Times New Roman" w:hAnsi="Times New Roman" w:cs="Times New Roman"/>
                <w:sz w:val="28"/>
                <w:szCs w:val="28"/>
              </w:rPr>
              <w:t>hà nước (%)</w:t>
            </w:r>
          </w:p>
        </w:tc>
        <w:tc>
          <w:tcPr>
            <w:tcW w:w="522" w:type="pct"/>
            <w:vMerge w:val="restart"/>
            <w:tcBorders>
              <w:top w:val="nil"/>
              <w:left w:val="nil"/>
              <w:bottom w:val="nil"/>
              <w:right w:val="nil"/>
            </w:tcBorders>
            <w:tcMar>
              <w:top w:w="100" w:type="dxa"/>
              <w:left w:w="100" w:type="dxa"/>
              <w:bottom w:w="100" w:type="dxa"/>
              <w:right w:w="100" w:type="dxa"/>
            </w:tcMar>
            <w:vAlign w:val="center"/>
          </w:tcPr>
          <w:p w14:paraId="250A2F81"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257" w:type="pct"/>
            <w:tcBorders>
              <w:top w:val="nil"/>
              <w:left w:val="nil"/>
              <w:bottom w:val="single" w:sz="8" w:space="0" w:color="000000"/>
              <w:right w:val="nil"/>
            </w:tcBorders>
            <w:tcMar>
              <w:top w:w="100" w:type="dxa"/>
              <w:left w:w="100" w:type="dxa"/>
              <w:bottom w:w="100" w:type="dxa"/>
              <w:right w:w="100" w:type="dxa"/>
            </w:tcMar>
            <w:vAlign w:val="center"/>
          </w:tcPr>
          <w:p w14:paraId="12CD32B8" w14:textId="77777777" w:rsidR="0000538F" w:rsidRPr="006545AD" w:rsidRDefault="0000538F" w:rsidP="0000538F">
            <w:pPr>
              <w:spacing w:beforeLines="40" w:before="96" w:afterLines="40" w:after="96"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Chi sự nghiệp bảo vệ môi trường</w:t>
            </w:r>
          </w:p>
        </w:tc>
        <w:tc>
          <w:tcPr>
            <w:tcW w:w="477" w:type="pct"/>
            <w:vMerge w:val="restart"/>
            <w:tcBorders>
              <w:top w:val="nil"/>
              <w:left w:val="nil"/>
              <w:bottom w:val="nil"/>
              <w:right w:val="nil"/>
            </w:tcBorders>
            <w:tcMar>
              <w:top w:w="100" w:type="dxa"/>
              <w:left w:w="100" w:type="dxa"/>
              <w:bottom w:w="100" w:type="dxa"/>
              <w:right w:w="100" w:type="dxa"/>
            </w:tcMar>
            <w:vAlign w:val="center"/>
          </w:tcPr>
          <w:p w14:paraId="651F81ED"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w:t>
            </w:r>
            <w:r w:rsidRPr="006545AD">
              <w:rPr>
                <w:rFonts w:ascii="Times New Roman" w:eastAsia="Times New Roman" w:hAnsi="Times New Roman" w:cs="Times New Roman"/>
                <w:sz w:val="28"/>
                <w:szCs w:val="28"/>
              </w:rPr>
              <w:t xml:space="preserve"> 100</w:t>
            </w:r>
          </w:p>
        </w:tc>
      </w:tr>
      <w:tr w:rsidR="0000538F" w:rsidRPr="006545AD" w14:paraId="45CE048D" w14:textId="77777777" w:rsidTr="009E1776">
        <w:trPr>
          <w:trHeight w:val="176"/>
          <w:jc w:val="center"/>
        </w:trPr>
        <w:tc>
          <w:tcPr>
            <w:tcW w:w="1743" w:type="pct"/>
            <w:vMerge/>
            <w:tcBorders>
              <w:bottom w:val="nil"/>
              <w:right w:val="nil"/>
            </w:tcBorders>
            <w:shd w:val="clear" w:color="auto" w:fill="auto"/>
            <w:tcMar>
              <w:top w:w="100" w:type="dxa"/>
              <w:left w:w="100" w:type="dxa"/>
              <w:bottom w:w="100" w:type="dxa"/>
              <w:right w:w="100" w:type="dxa"/>
            </w:tcMar>
            <w:vAlign w:val="center"/>
          </w:tcPr>
          <w:p w14:paraId="13417B91"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p>
        </w:tc>
        <w:tc>
          <w:tcPr>
            <w:tcW w:w="522" w:type="pct"/>
            <w:vMerge/>
            <w:tcBorders>
              <w:bottom w:val="nil"/>
              <w:right w:val="nil"/>
            </w:tcBorders>
            <w:shd w:val="clear" w:color="auto" w:fill="auto"/>
            <w:tcMar>
              <w:top w:w="100" w:type="dxa"/>
              <w:left w:w="100" w:type="dxa"/>
              <w:bottom w:w="100" w:type="dxa"/>
              <w:right w:w="100" w:type="dxa"/>
            </w:tcMar>
            <w:vAlign w:val="center"/>
          </w:tcPr>
          <w:p w14:paraId="522E1CDA"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p>
        </w:tc>
        <w:tc>
          <w:tcPr>
            <w:tcW w:w="2257" w:type="pct"/>
            <w:tcBorders>
              <w:top w:val="nil"/>
              <w:left w:val="nil"/>
              <w:bottom w:val="nil"/>
              <w:right w:val="nil"/>
            </w:tcBorders>
            <w:shd w:val="clear" w:color="auto" w:fill="auto"/>
            <w:tcMar>
              <w:top w:w="100" w:type="dxa"/>
              <w:left w:w="100" w:type="dxa"/>
              <w:bottom w:w="100" w:type="dxa"/>
              <w:right w:w="100" w:type="dxa"/>
            </w:tcMar>
            <w:vAlign w:val="center"/>
          </w:tcPr>
          <w:p w14:paraId="4E15B35B" w14:textId="72CC5835" w:rsidR="0000538F" w:rsidRPr="006545AD" w:rsidRDefault="0000538F">
            <w:pPr>
              <w:spacing w:beforeLines="40" w:before="96" w:afterLines="40" w:after="96"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Tổng </w:t>
            </w:r>
            <w:r w:rsidR="00C574CF">
              <w:rPr>
                <w:rFonts w:ascii="Times New Roman" w:eastAsia="Times New Roman" w:hAnsi="Times New Roman" w:cs="Times New Roman"/>
                <w:sz w:val="28"/>
                <w:szCs w:val="28"/>
              </w:rPr>
              <w:t>chi ngân sách n</w:t>
            </w:r>
            <w:r w:rsidRPr="006545AD">
              <w:rPr>
                <w:rFonts w:ascii="Times New Roman" w:eastAsia="Times New Roman" w:hAnsi="Times New Roman" w:cs="Times New Roman"/>
                <w:sz w:val="28"/>
                <w:szCs w:val="28"/>
              </w:rPr>
              <w:t>hà nước</w:t>
            </w:r>
          </w:p>
        </w:tc>
        <w:tc>
          <w:tcPr>
            <w:tcW w:w="477" w:type="pct"/>
            <w:vMerge/>
            <w:tcBorders>
              <w:bottom w:val="nil"/>
              <w:right w:val="nil"/>
            </w:tcBorders>
            <w:shd w:val="clear" w:color="auto" w:fill="auto"/>
            <w:tcMar>
              <w:top w:w="100" w:type="dxa"/>
              <w:left w:w="100" w:type="dxa"/>
              <w:bottom w:w="100" w:type="dxa"/>
              <w:right w:w="100" w:type="dxa"/>
            </w:tcMar>
            <w:vAlign w:val="center"/>
          </w:tcPr>
          <w:p w14:paraId="318E93EF"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p>
        </w:tc>
      </w:tr>
    </w:tbl>
    <w:p w14:paraId="0B916F11"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b/>
          <w:sz w:val="28"/>
          <w:szCs w:val="28"/>
        </w:rPr>
        <w:t xml:space="preserve">2. Phân tổ chủ yếu: </w:t>
      </w:r>
      <w:r w:rsidRPr="006545AD">
        <w:rPr>
          <w:rFonts w:ascii="Times New Roman" w:eastAsia="Times New Roman" w:hAnsi="Times New Roman" w:cs="Times New Roman"/>
          <w:sz w:val="28"/>
          <w:szCs w:val="28"/>
        </w:rPr>
        <w:t>Tỉnh, thành phố trực thuộc Trung ương.</w:t>
      </w:r>
    </w:p>
    <w:p w14:paraId="655E8A7B"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 xml:space="preserve">3. Kỳ công bố: </w:t>
      </w:r>
      <w:r w:rsidRPr="006545AD">
        <w:rPr>
          <w:rFonts w:ascii="Times New Roman" w:eastAsia="Times New Roman" w:hAnsi="Times New Roman" w:cs="Times New Roman"/>
          <w:sz w:val="28"/>
          <w:szCs w:val="28"/>
        </w:rPr>
        <w:t>Năm.</w:t>
      </w:r>
    </w:p>
    <w:p w14:paraId="76F3906F"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 xml:space="preserve">4. Nguồn số liệu: </w:t>
      </w:r>
      <w:r w:rsidRPr="006545AD">
        <w:rPr>
          <w:rFonts w:ascii="Times New Roman" w:eastAsia="Times New Roman" w:hAnsi="Times New Roman" w:cs="Times New Roman"/>
          <w:sz w:val="28"/>
          <w:szCs w:val="28"/>
        </w:rPr>
        <w:t>Dữ liệu hành chính.</w:t>
      </w:r>
    </w:p>
    <w:p w14:paraId="51B16E99" w14:textId="77777777" w:rsidR="004141D4"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t xml:space="preserve">5. Cơ quan chịu trách nhiệm thu thập, tổng hợp: </w:t>
      </w:r>
      <w:r w:rsidRPr="006545AD">
        <w:rPr>
          <w:rFonts w:ascii="Times New Roman" w:eastAsia="Times New Roman" w:hAnsi="Times New Roman" w:cs="Times New Roman"/>
          <w:sz w:val="28"/>
          <w:szCs w:val="28"/>
        </w:rPr>
        <w:t>Bộ Tài chính.</w:t>
      </w:r>
    </w:p>
    <w:p w14:paraId="6F69AC67" w14:textId="77777777" w:rsidR="00442DB6" w:rsidRPr="006545AD" w:rsidRDefault="004141D4" w:rsidP="00EE2829">
      <w:pPr>
        <w:spacing w:before="120" w:after="12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Pr="009E1776">
        <w:rPr>
          <w:rFonts w:ascii="Times New Roman" w:eastAsia="Times New Roman" w:hAnsi="Times New Roman" w:cs="Times New Roman"/>
          <w:b/>
          <w:sz w:val="28"/>
          <w:szCs w:val="28"/>
        </w:rPr>
        <w:t xml:space="preserve">3.12. Tỷ trọng thuế bảo vệ môi trường và thuế tài nguyên trong tổng thu ngân sách nhà nước </w:t>
      </w:r>
      <w:r w:rsidR="00442DB6" w:rsidRPr="006545AD">
        <w:rPr>
          <w:rFonts w:ascii="Times New Roman" w:eastAsia="Times New Roman" w:hAnsi="Times New Roman" w:cs="Times New Roman"/>
          <w:b/>
          <w:sz w:val="28"/>
          <w:szCs w:val="28"/>
        </w:rPr>
        <w:t xml:space="preserve">trừ các khoản thu từ nhà, đất và thu từ hoạt động xổ số kiến thiết  </w:t>
      </w:r>
    </w:p>
    <w:p w14:paraId="0E16B7F7" w14:textId="057EE025" w:rsidR="004141D4" w:rsidRPr="006545AD" w:rsidRDefault="004141D4" w:rsidP="00EE2829">
      <w:pPr>
        <w:spacing w:before="120" w:after="12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189C28EB" w14:textId="77777777" w:rsidR="004141D4" w:rsidRPr="006545AD" w:rsidRDefault="004141D4" w:rsidP="00EE2829">
      <w:pPr>
        <w:spacing w:before="120" w:after="120" w:line="360" w:lineRule="exact"/>
        <w:jc w:val="both"/>
        <w:rPr>
          <w:rFonts w:ascii="Times New Roman" w:hAnsi="Times New Roman" w:cs="Times New Roman"/>
          <w:sz w:val="28"/>
          <w:szCs w:val="28"/>
        </w:rPr>
      </w:pPr>
      <w:r w:rsidRPr="006545AD">
        <w:rPr>
          <w:rFonts w:ascii="Times New Roman" w:eastAsia="Times New Roman" w:hAnsi="Times New Roman" w:cs="Times New Roman"/>
          <w:sz w:val="28"/>
          <w:szCs w:val="28"/>
        </w:rPr>
        <w:tab/>
      </w:r>
      <w:r w:rsidRPr="006545AD">
        <w:rPr>
          <w:rFonts w:ascii="Times New Roman" w:hAnsi="Times New Roman" w:cs="Times New Roman"/>
          <w:sz w:val="28"/>
          <w:szCs w:val="28"/>
        </w:rPr>
        <w:t xml:space="preserve">Tỷ trọng thuế bảo vệ môi trường và thuế tài nguyên trong tổng thu ngân sách nhà nước </w:t>
      </w:r>
      <w:r w:rsidRPr="006545AD">
        <w:rPr>
          <w:rFonts w:ascii="Times New Roman" w:eastAsia="Times New Roman" w:hAnsi="Times New Roman" w:cs="Times New Roman"/>
          <w:sz w:val="28"/>
          <w:szCs w:val="28"/>
        </w:rPr>
        <w:t>(không bao gồm</w:t>
      </w:r>
      <w:r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các khoản thu từ nhà, đất và thu từ hoạt động xổ số kiến thiết)</w:t>
      </w:r>
      <w:r w:rsidRPr="006545AD">
        <w:rPr>
          <w:rFonts w:ascii="Times New Roman" w:hAnsi="Times New Roman" w:cs="Times New Roman"/>
          <w:sz w:val="28"/>
          <w:szCs w:val="28"/>
        </w:rPr>
        <w:t xml:space="preserve"> là phần trăm thuế bảo vệ môi trường và thuế tài nguyên trong tổng thu ngân sách nhà nước </w:t>
      </w:r>
      <w:r w:rsidRPr="006545AD">
        <w:rPr>
          <w:rFonts w:ascii="Times New Roman" w:eastAsia="Times New Roman" w:hAnsi="Times New Roman" w:cs="Times New Roman"/>
          <w:sz w:val="28"/>
          <w:szCs w:val="28"/>
        </w:rPr>
        <w:t>(không bao gồm</w:t>
      </w:r>
      <w:r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các khoản thu từ nhà, đất và thu từ hoạt động xổ số kiến thiết)</w:t>
      </w:r>
      <w:r w:rsidRPr="006545AD">
        <w:rPr>
          <w:rFonts w:ascii="Times New Roman" w:hAnsi="Times New Roman" w:cs="Times New Roman"/>
          <w:sz w:val="28"/>
          <w:szCs w:val="28"/>
        </w:rPr>
        <w:t>.</w:t>
      </w:r>
    </w:p>
    <w:p w14:paraId="39DA7CF6" w14:textId="77777777" w:rsidR="004141D4" w:rsidRPr="006545AD" w:rsidRDefault="004141D4" w:rsidP="00EE2829">
      <w:pPr>
        <w:spacing w:before="120" w:after="12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t>Thuế bảo vệ môi trường là loại thuế gián thu, thu vào sản phẩm, hàng hóa (sau đây gọi chung là hàng hóa) khi sử dụng gây tác động xấu đến môi trường.</w:t>
      </w:r>
    </w:p>
    <w:p w14:paraId="0DF8CF0C" w14:textId="77777777" w:rsidR="004141D4" w:rsidRPr="006545AD" w:rsidRDefault="004141D4" w:rsidP="00EE2829">
      <w:pPr>
        <w:spacing w:before="120" w:after="12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r>
      <w:r w:rsidRPr="006545AD">
        <w:rPr>
          <w:rFonts w:ascii="Times New Roman" w:hAnsi="Times New Roman" w:cs="Times New Roman"/>
          <w:spacing w:val="-4"/>
          <w:sz w:val="28"/>
          <w:szCs w:val="28"/>
        </w:rPr>
        <w:t>Đối tượng chịu thuế bảo vệ môi trường: Xăng, dầu, mỡ nhờn (</w:t>
      </w:r>
      <w:r w:rsidRPr="006545AD">
        <w:rPr>
          <w:rFonts w:ascii="Times New Roman" w:hAnsi="Times New Roman" w:cs="Times New Roman"/>
          <w:color w:val="000000"/>
          <w:spacing w:val="-4"/>
          <w:sz w:val="28"/>
          <w:szCs w:val="28"/>
          <w:shd w:val="clear" w:color="auto" w:fill="FFFFFF"/>
        </w:rPr>
        <w:t>xăng, trừ etanol; nhiên liệu bay; dầu diezel; dầu hỏa; dầu mazut; dầu nhờn; mỡ nhờn); than đá (than nâu; than an-tra-xít (antraxit), than mỡ; than đá khác); dung dịch hydro-chloro-fluoro-carbon (HCFC); túi ni lông thuộc diện chịu thuế; thuốc diệt cỏ thuộc loại hạn chế sử dụng; thuốc trừ mối thuộc</w:t>
      </w:r>
      <w:r w:rsidRPr="006545AD">
        <w:rPr>
          <w:rFonts w:ascii="Times New Roman" w:hAnsi="Times New Roman" w:cs="Times New Roman"/>
          <w:color w:val="000000"/>
          <w:spacing w:val="-2"/>
          <w:sz w:val="28"/>
          <w:szCs w:val="28"/>
          <w:shd w:val="clear" w:color="auto" w:fill="FFFFFF"/>
        </w:rPr>
        <w:t xml:space="preserve"> loại hạn chế sử dụng; thuốc bảo quản </w:t>
      </w:r>
      <w:r w:rsidRPr="006545AD">
        <w:rPr>
          <w:rFonts w:ascii="Times New Roman" w:hAnsi="Times New Roman" w:cs="Times New Roman"/>
          <w:color w:val="000000"/>
          <w:spacing w:val="-8"/>
          <w:sz w:val="28"/>
          <w:szCs w:val="28"/>
          <w:shd w:val="clear" w:color="auto" w:fill="FFFFFF"/>
        </w:rPr>
        <w:t>lâm sản thuộc loại hạn chế sử dụng; thuốc khử trùng kho thuộc loại hạn chế sử dụng;</w:t>
      </w:r>
      <w:r w:rsidRPr="006545AD">
        <w:rPr>
          <w:rFonts w:ascii="Times New Roman" w:hAnsi="Times New Roman" w:cs="Times New Roman"/>
          <w:color w:val="000000"/>
          <w:sz w:val="28"/>
          <w:szCs w:val="28"/>
          <w:shd w:val="clear" w:color="auto" w:fill="FFFFFF"/>
        </w:rPr>
        <w:t xml:space="preserve"> </w:t>
      </w:r>
    </w:p>
    <w:p w14:paraId="1D2BC57F" w14:textId="77777777" w:rsidR="004141D4" w:rsidRPr="006545AD" w:rsidRDefault="004141D4" w:rsidP="00EE2829">
      <w:pPr>
        <w:spacing w:before="120" w:after="12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t>Thu thuế bảo vệ môi trường nhằm tạo nguồn thu cho ngân sách nhà nước từ người gây ô nhiễm và gây thiệt hại cho môi trường để bù đắp cho các chi phí xã hội phát sinh do bị ô nhiễm.</w:t>
      </w:r>
    </w:p>
    <w:p w14:paraId="5E52F3AC" w14:textId="776CF256" w:rsidR="004141D4" w:rsidRPr="006545AD" w:rsidRDefault="004141D4" w:rsidP="00EE2829">
      <w:pPr>
        <w:spacing w:before="120" w:after="12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t>Thuế bảo vệ môi trường sẽ góp phần thúc đẩy và khuyến khích phát triển kinh tế đi liền với giảm ô nhiễm môi trường, đáp ứng yêu cầu phát triển kinh tế bền vững, nâng cao chất lượng cuộc sống, nâng cao ý thức bảo vệ môi trường, từ đó thay đổi nhận thức, hành vi của các cá nhân và doanh nghiệp trong sản xuất và tiêu dùng nhằm phát thải.</w:t>
      </w:r>
    </w:p>
    <w:p w14:paraId="2F5AEC45" w14:textId="77777777" w:rsidR="004141D4" w:rsidRPr="006545AD" w:rsidRDefault="004141D4" w:rsidP="00EE2829">
      <w:pPr>
        <w:spacing w:before="120" w:after="120" w:line="360" w:lineRule="exact"/>
        <w:jc w:val="both"/>
        <w:rPr>
          <w:rFonts w:ascii="Times New Roman" w:hAnsi="Times New Roman" w:cs="Times New Roman"/>
          <w:sz w:val="28"/>
          <w:szCs w:val="28"/>
        </w:rPr>
      </w:pPr>
      <w:r w:rsidRPr="006545AD">
        <w:rPr>
          <w:rFonts w:ascii="Times New Roman" w:hAnsi="Times New Roman" w:cs="Times New Roman"/>
          <w:sz w:val="28"/>
          <w:szCs w:val="28"/>
        </w:rPr>
        <w:lastRenderedPageBreak/>
        <w:tab/>
        <w:t xml:space="preserve">Trong phạm vi chỉ tiêu này, thuế bảo vệ môi trường bao gồm thuế và phí bảo vệ môi trường. Trong đó: </w:t>
      </w:r>
    </w:p>
    <w:p w14:paraId="4E26E44A" w14:textId="77777777" w:rsidR="004141D4" w:rsidRPr="006545AD" w:rsidRDefault="004141D4" w:rsidP="00EE2829">
      <w:pPr>
        <w:spacing w:before="120" w:after="120" w:line="360" w:lineRule="exact"/>
        <w:jc w:val="both"/>
        <w:rPr>
          <w:rFonts w:ascii="Times New Roman" w:hAnsi="Times New Roman" w:cs="Times New Roman"/>
          <w:color w:val="151617"/>
          <w:sz w:val="28"/>
          <w:szCs w:val="28"/>
        </w:rPr>
      </w:pPr>
      <w:r w:rsidRPr="006545AD">
        <w:rPr>
          <w:rFonts w:ascii="Times New Roman" w:hAnsi="Times New Roman" w:cs="Times New Roman"/>
          <w:sz w:val="28"/>
          <w:szCs w:val="28"/>
        </w:rPr>
        <w:tab/>
        <w:t>- Thuế bảo vệ môi trường: Là khoản tiền phải nộp bằng số lượng hàng hóa chịu thuế nhân với mức thuế tuyệt đối quy định trên một đơn vị hàng hóa.</w:t>
      </w:r>
    </w:p>
    <w:p w14:paraId="4510C0D3" w14:textId="77777777" w:rsidR="004141D4" w:rsidRPr="006545AD" w:rsidRDefault="004141D4" w:rsidP="00EE2829">
      <w:pPr>
        <w:spacing w:before="120" w:after="120" w:line="360" w:lineRule="exact"/>
        <w:jc w:val="both"/>
        <w:rPr>
          <w:rFonts w:ascii="Times New Roman" w:hAnsi="Times New Roman" w:cs="Times New Roman"/>
          <w:sz w:val="28"/>
          <w:szCs w:val="28"/>
        </w:rPr>
      </w:pPr>
      <w:r w:rsidRPr="006545AD">
        <w:rPr>
          <w:rFonts w:ascii="Times New Roman" w:hAnsi="Times New Roman" w:cs="Times New Roman"/>
          <w:color w:val="151617"/>
          <w:sz w:val="28"/>
          <w:szCs w:val="28"/>
        </w:rPr>
        <w:tab/>
        <w:t>- Phí bảo vệ môi trường</w:t>
      </w:r>
      <w:r w:rsidRPr="006545AD">
        <w:rPr>
          <w:rFonts w:ascii="Times New Roman" w:hAnsi="Times New Roman" w:cs="Times New Roman"/>
          <w:sz w:val="28"/>
          <w:szCs w:val="28"/>
        </w:rPr>
        <w:t xml:space="preserve">: Là khoản tiền được ấn định mà tổ chức, cá nhân xả thải </w:t>
      </w:r>
      <w:r w:rsidRPr="006545AD">
        <w:rPr>
          <w:rFonts w:ascii="Times New Roman" w:hAnsi="Times New Roman" w:cs="Times New Roman"/>
          <w:spacing w:val="-6"/>
          <w:sz w:val="28"/>
          <w:szCs w:val="28"/>
        </w:rPr>
        <w:t xml:space="preserve">ra môi trường hoặc làm phát sinh tác động xấu đối với môi trường phải nộp nhằm cơ bản bù đắp chi phí và mang tính phục vụ khi được cơ quan nhà nước có </w:t>
      </w:r>
      <w:r w:rsidRPr="006545AD">
        <w:rPr>
          <w:rFonts w:ascii="Times New Roman" w:hAnsi="Times New Roman" w:cs="Times New Roman"/>
          <w:spacing w:val="-8"/>
          <w:sz w:val="28"/>
          <w:szCs w:val="28"/>
        </w:rPr>
        <w:t>thẩm quyền cung cấp dịch vụ cho hoạt động bảo vệ, xây dựng, bảo dưỡng môi trường.</w:t>
      </w:r>
    </w:p>
    <w:p w14:paraId="2EC2459B" w14:textId="77777777" w:rsidR="004141D4" w:rsidRPr="006545AD" w:rsidRDefault="004141D4" w:rsidP="00EE2829">
      <w:pPr>
        <w:spacing w:before="120" w:after="120" w:line="360" w:lineRule="exact"/>
        <w:ind w:firstLine="720"/>
        <w:jc w:val="both"/>
        <w:rPr>
          <w:rFonts w:ascii="Times New Roman" w:hAnsi="Times New Roman" w:cs="Times New Roman"/>
          <w:spacing w:val="4"/>
          <w:sz w:val="28"/>
          <w:szCs w:val="28"/>
        </w:rPr>
      </w:pPr>
      <w:r w:rsidRPr="006545AD">
        <w:rPr>
          <w:rFonts w:ascii="Times New Roman" w:hAnsi="Times New Roman" w:cs="Times New Roman"/>
          <w:spacing w:val="4"/>
          <w:sz w:val="28"/>
          <w:szCs w:val="28"/>
        </w:rPr>
        <w:t xml:space="preserve">Thuế tài nguyên là loại thuế gián thu, do các tổ chức, cá nhân phải nộp vào ngân sách nhà nước khi hoạt động khai thác tài nguyên thuộc đối tượng chịu thuế tài nguyên. </w:t>
      </w:r>
    </w:p>
    <w:p w14:paraId="6DF514D0" w14:textId="09212622" w:rsidR="004141D4" w:rsidRPr="006545AD" w:rsidRDefault="004141D4" w:rsidP="00EE2829">
      <w:pPr>
        <w:spacing w:before="120" w:after="120" w:line="360" w:lineRule="exact"/>
        <w:ind w:firstLine="720"/>
        <w:jc w:val="both"/>
        <w:rPr>
          <w:rFonts w:ascii="Times New Roman" w:hAnsi="Times New Roman" w:cs="Times New Roman"/>
          <w:color w:val="151617"/>
          <w:sz w:val="28"/>
          <w:szCs w:val="28"/>
        </w:rPr>
      </w:pPr>
      <w:r w:rsidRPr="006545AD">
        <w:rPr>
          <w:rFonts w:ascii="Times New Roman" w:hAnsi="Times New Roman" w:cs="Times New Roman"/>
          <w:color w:val="151617"/>
          <w:sz w:val="28"/>
          <w:szCs w:val="28"/>
        </w:rPr>
        <w:t>Đối tượng chịu thuế tài nguyên là: Khoáng sản kim loại; Khoáng sản không kim loại; Dầu thô; Khí thiên nhiên, khí than; Sản phẩm của rừng tự nhiên, trừ động vật; Hải sản tự nhiên, bao gồm động vật và thực vật biển; Nước thiên nhiên, bao gồm nước mặt và nước dưới đất</w:t>
      </w:r>
      <w:r w:rsidR="00EE2829">
        <w:rPr>
          <w:rFonts w:ascii="Times New Roman" w:hAnsi="Times New Roman" w:cs="Times New Roman"/>
          <w:color w:val="151617"/>
          <w:sz w:val="28"/>
          <w:szCs w:val="28"/>
        </w:rPr>
        <w:t xml:space="preserve"> trừ nước thiên nhiên dùng cho nông nghiệp, lâm nghiệp, ngư nghiệp, diêm nghiệp</w:t>
      </w:r>
      <w:r w:rsidRPr="006545AD">
        <w:rPr>
          <w:rFonts w:ascii="Times New Roman" w:hAnsi="Times New Roman" w:cs="Times New Roman"/>
          <w:color w:val="151617"/>
          <w:sz w:val="28"/>
          <w:szCs w:val="28"/>
        </w:rPr>
        <w:t>; Yến sào thiên nhiên; Tài nguyên khác do Uỷ ban thường vụ Quốc hội quy định.</w:t>
      </w:r>
    </w:p>
    <w:p w14:paraId="2819B96D" w14:textId="1B6F70AB" w:rsidR="00C574CF" w:rsidRDefault="004141D4" w:rsidP="00EE2829">
      <w:pPr>
        <w:spacing w:before="120" w:after="120" w:line="360" w:lineRule="exact"/>
        <w:jc w:val="both"/>
        <w:rPr>
          <w:rFonts w:ascii="Times New Roman" w:hAnsi="Times New Roman" w:cs="Times New Roman"/>
          <w:spacing w:val="-8"/>
          <w:sz w:val="28"/>
          <w:szCs w:val="28"/>
        </w:rPr>
      </w:pPr>
      <w:r w:rsidRPr="006545AD">
        <w:rPr>
          <w:rFonts w:ascii="Times New Roman" w:hAnsi="Times New Roman" w:cs="Times New Roman"/>
          <w:color w:val="151617"/>
          <w:sz w:val="28"/>
          <w:szCs w:val="28"/>
        </w:rPr>
        <w:tab/>
        <w:t xml:space="preserve"> </w:t>
      </w:r>
      <w:r w:rsidRPr="006545AD">
        <w:rPr>
          <w:rFonts w:ascii="Times New Roman" w:hAnsi="Times New Roman" w:cs="Times New Roman"/>
          <w:sz w:val="28"/>
          <w:szCs w:val="28"/>
        </w:rPr>
        <w:t xml:space="preserve">Thuế tài nguyên nhằm khuyến khích việc khai thác, sử dụng tài nguyên hợp lí, tiết kiệm, có hiệu quả, góp phần bảo vệ tài nguyên đất nước, bảo đảm cho ngân sách nhà nước có nguồn thu để bảo vệ, tái tạo, tìm kiếm, thăm dò tài </w:t>
      </w:r>
      <w:r w:rsidRPr="006545AD">
        <w:rPr>
          <w:rFonts w:ascii="Times New Roman" w:hAnsi="Times New Roman" w:cs="Times New Roman"/>
          <w:spacing w:val="-8"/>
          <w:sz w:val="28"/>
          <w:szCs w:val="28"/>
        </w:rPr>
        <w:t>nguyên. Trong phạm vi chỉ tiêu này, thuế tài nguyên bao gồm thuế và phí tài nguyên.</w:t>
      </w:r>
    </w:p>
    <w:p w14:paraId="5190FF76" w14:textId="77777777" w:rsidR="00EE2829" w:rsidRPr="006545AD" w:rsidRDefault="00EE2829" w:rsidP="00EE2829">
      <w:pPr>
        <w:spacing w:before="120" w:after="120" w:line="360" w:lineRule="exact"/>
        <w:jc w:val="both"/>
        <w:rPr>
          <w:rFonts w:ascii="Times New Roman" w:hAnsi="Times New Roman" w:cs="Times New Roman"/>
          <w:sz w:val="28"/>
          <w:szCs w:val="28"/>
        </w:rPr>
      </w:pPr>
    </w:p>
    <w:p w14:paraId="351F998C" w14:textId="77777777" w:rsidR="004141D4" w:rsidRPr="006545AD" w:rsidRDefault="004141D4" w:rsidP="004141D4">
      <w:pPr>
        <w:spacing w:before="60" w:after="6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t xml:space="preserve">Công thức tính: </w:t>
      </w:r>
    </w:p>
    <w:tbl>
      <w:tblPr>
        <w:tblStyle w:val="15"/>
        <w:tblW w:w="5000" w:type="pct"/>
        <w:jc w:val="center"/>
        <w:tblBorders>
          <w:top w:val="nil"/>
          <w:left w:val="nil"/>
          <w:bottom w:val="nil"/>
          <w:right w:val="nil"/>
          <w:insideH w:val="nil"/>
          <w:insideV w:val="nil"/>
        </w:tblBorders>
        <w:tblLook w:val="0600" w:firstRow="0" w:lastRow="0" w:firstColumn="0" w:lastColumn="0" w:noHBand="1" w:noVBand="1"/>
      </w:tblPr>
      <w:tblGrid>
        <w:gridCol w:w="2994"/>
        <w:gridCol w:w="650"/>
        <w:gridCol w:w="4561"/>
        <w:gridCol w:w="867"/>
      </w:tblGrid>
      <w:tr w:rsidR="004141D4" w:rsidRPr="006545AD" w14:paraId="49CA89A8" w14:textId="77777777" w:rsidTr="00F30736">
        <w:trPr>
          <w:trHeight w:val="765"/>
          <w:jc w:val="center"/>
        </w:trPr>
        <w:tc>
          <w:tcPr>
            <w:tcW w:w="1650" w:type="pct"/>
            <w:vMerge w:val="restart"/>
            <w:tcBorders>
              <w:top w:val="nil"/>
              <w:left w:val="nil"/>
              <w:bottom w:val="nil"/>
              <w:right w:val="nil"/>
            </w:tcBorders>
            <w:tcMar>
              <w:top w:w="100" w:type="dxa"/>
              <w:left w:w="100" w:type="dxa"/>
              <w:bottom w:w="100" w:type="dxa"/>
              <w:right w:w="100" w:type="dxa"/>
            </w:tcMar>
            <w:vAlign w:val="center"/>
          </w:tcPr>
          <w:p w14:paraId="18525938" w14:textId="77777777" w:rsidR="004141D4" w:rsidRPr="006545AD" w:rsidRDefault="004141D4" w:rsidP="00F30736">
            <w:pPr>
              <w:spacing w:before="60" w:after="60" w:line="360" w:lineRule="exact"/>
              <w:jc w:val="center"/>
              <w:rPr>
                <w:rFonts w:ascii="Times New Roman" w:hAnsi="Times New Roman" w:cs="Times New Roman"/>
                <w:sz w:val="28"/>
                <w:szCs w:val="28"/>
              </w:rPr>
            </w:pPr>
            <w:r w:rsidRPr="006545AD">
              <w:rPr>
                <w:rFonts w:ascii="Times New Roman" w:hAnsi="Times New Roman" w:cs="Times New Roman"/>
                <w:sz w:val="28"/>
                <w:szCs w:val="28"/>
              </w:rPr>
              <w:t xml:space="preserve">Tỷ trọng thuế bảo vệ môi trường và thuế tài nguyên trong tổng thu ngân sách nhà nước </w:t>
            </w:r>
            <w:r w:rsidRPr="006545AD">
              <w:rPr>
                <w:rFonts w:ascii="Times New Roman" w:eastAsia="Times New Roman" w:hAnsi="Times New Roman" w:cs="Times New Roman"/>
                <w:sz w:val="28"/>
                <w:szCs w:val="28"/>
              </w:rPr>
              <w:t>(không bao gồm</w:t>
            </w:r>
            <w:r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các khoản thu từ nhà, đất và thu từ hoạt động xổ số kiến thiết)</w:t>
            </w:r>
            <w:r w:rsidRPr="006545AD">
              <w:rPr>
                <w:rFonts w:ascii="Times New Roman" w:hAnsi="Times New Roman" w:cs="Times New Roman"/>
                <w:sz w:val="28"/>
                <w:szCs w:val="28"/>
              </w:rPr>
              <w:t xml:space="preserve"> (%)</w:t>
            </w:r>
          </w:p>
        </w:tc>
        <w:tc>
          <w:tcPr>
            <w:tcW w:w="358" w:type="pct"/>
            <w:vMerge w:val="restart"/>
            <w:tcBorders>
              <w:top w:val="nil"/>
              <w:left w:val="nil"/>
              <w:bottom w:val="nil"/>
              <w:right w:val="nil"/>
            </w:tcBorders>
            <w:tcMar>
              <w:top w:w="100" w:type="dxa"/>
              <w:left w:w="100" w:type="dxa"/>
              <w:bottom w:w="100" w:type="dxa"/>
              <w:right w:w="100" w:type="dxa"/>
            </w:tcMar>
            <w:vAlign w:val="center"/>
          </w:tcPr>
          <w:p w14:paraId="2A356627" w14:textId="77777777" w:rsidR="004141D4" w:rsidRPr="006545AD" w:rsidRDefault="004141D4" w:rsidP="00F30736">
            <w:pPr>
              <w:spacing w:before="60" w:after="60" w:line="360" w:lineRule="exact"/>
              <w:jc w:val="center"/>
              <w:rPr>
                <w:rFonts w:ascii="Times New Roman" w:hAnsi="Times New Roman" w:cs="Times New Roman"/>
                <w:sz w:val="28"/>
                <w:szCs w:val="28"/>
              </w:rPr>
            </w:pPr>
            <w:r w:rsidRPr="006545AD">
              <w:rPr>
                <w:rFonts w:ascii="Times New Roman" w:hAnsi="Times New Roman" w:cs="Times New Roman"/>
                <w:sz w:val="28"/>
                <w:szCs w:val="28"/>
              </w:rPr>
              <w:t>=</w:t>
            </w:r>
          </w:p>
        </w:tc>
        <w:tc>
          <w:tcPr>
            <w:tcW w:w="2514" w:type="pct"/>
            <w:tcBorders>
              <w:top w:val="nil"/>
              <w:left w:val="nil"/>
              <w:bottom w:val="single" w:sz="8" w:space="0" w:color="000000"/>
              <w:right w:val="nil"/>
            </w:tcBorders>
            <w:tcMar>
              <w:top w:w="100" w:type="dxa"/>
              <w:left w:w="100" w:type="dxa"/>
              <w:bottom w:w="100" w:type="dxa"/>
              <w:right w:w="100" w:type="dxa"/>
            </w:tcMar>
            <w:vAlign w:val="center"/>
          </w:tcPr>
          <w:p w14:paraId="5D9CB178" w14:textId="77777777" w:rsidR="004141D4" w:rsidRPr="006545AD" w:rsidRDefault="004141D4" w:rsidP="00F30736">
            <w:pPr>
              <w:spacing w:before="60" w:after="60" w:line="360" w:lineRule="exact"/>
              <w:jc w:val="center"/>
              <w:rPr>
                <w:rFonts w:ascii="Times New Roman" w:hAnsi="Times New Roman" w:cs="Times New Roman"/>
                <w:sz w:val="28"/>
                <w:szCs w:val="28"/>
              </w:rPr>
            </w:pPr>
            <w:r w:rsidRPr="006545AD">
              <w:rPr>
                <w:rFonts w:ascii="Times New Roman" w:hAnsi="Times New Roman" w:cs="Times New Roman"/>
                <w:sz w:val="28"/>
                <w:szCs w:val="28"/>
              </w:rPr>
              <w:t>Tổng thuế bảo vệ môi trường và thuế tài nguyên</w:t>
            </w:r>
          </w:p>
        </w:tc>
        <w:tc>
          <w:tcPr>
            <w:tcW w:w="479" w:type="pct"/>
            <w:vMerge w:val="restart"/>
            <w:tcBorders>
              <w:top w:val="nil"/>
              <w:left w:val="nil"/>
              <w:bottom w:val="nil"/>
              <w:right w:val="nil"/>
            </w:tcBorders>
            <w:tcMar>
              <w:top w:w="100" w:type="dxa"/>
              <w:left w:w="100" w:type="dxa"/>
              <w:bottom w:w="100" w:type="dxa"/>
              <w:right w:w="100" w:type="dxa"/>
            </w:tcMar>
            <w:vAlign w:val="center"/>
          </w:tcPr>
          <w:p w14:paraId="5F51377C" w14:textId="77777777" w:rsidR="004141D4" w:rsidRPr="006545AD" w:rsidRDefault="004141D4" w:rsidP="00F30736">
            <w:pPr>
              <w:spacing w:before="60" w:after="60" w:line="360" w:lineRule="exact"/>
              <w:jc w:val="center"/>
              <w:rPr>
                <w:rFonts w:ascii="Times New Roman" w:hAnsi="Times New Roman" w:cs="Times New Roman"/>
                <w:b/>
                <w:sz w:val="28"/>
                <w:szCs w:val="28"/>
              </w:rPr>
            </w:pPr>
            <w:r w:rsidRPr="006545AD">
              <w:rPr>
                <w:rFonts w:ascii="Times New Roman" w:hAnsi="Times New Roman" w:cs="Times New Roman"/>
                <w:b/>
                <w:sz w:val="28"/>
                <w:szCs w:val="28"/>
              </w:rPr>
              <w:t>×</w:t>
            </w:r>
            <w:r w:rsidRPr="006545AD">
              <w:rPr>
                <w:rFonts w:ascii="Times New Roman" w:hAnsi="Times New Roman" w:cs="Times New Roman"/>
                <w:sz w:val="28"/>
                <w:szCs w:val="28"/>
              </w:rPr>
              <w:t xml:space="preserve"> 100</w:t>
            </w:r>
          </w:p>
        </w:tc>
      </w:tr>
      <w:tr w:rsidR="004141D4" w:rsidRPr="006545AD" w14:paraId="4671EA61" w14:textId="77777777" w:rsidTr="00F30736">
        <w:trPr>
          <w:trHeight w:val="723"/>
          <w:jc w:val="center"/>
        </w:trPr>
        <w:tc>
          <w:tcPr>
            <w:tcW w:w="1650" w:type="pct"/>
            <w:vMerge/>
            <w:tcBorders>
              <w:bottom w:val="nil"/>
              <w:right w:val="nil"/>
            </w:tcBorders>
            <w:shd w:val="clear" w:color="auto" w:fill="auto"/>
            <w:tcMar>
              <w:top w:w="100" w:type="dxa"/>
              <w:left w:w="100" w:type="dxa"/>
              <w:bottom w:w="100" w:type="dxa"/>
              <w:right w:w="100" w:type="dxa"/>
            </w:tcMar>
            <w:vAlign w:val="center"/>
          </w:tcPr>
          <w:p w14:paraId="7A0FC44D" w14:textId="77777777" w:rsidR="004141D4" w:rsidRPr="006545AD" w:rsidRDefault="004141D4" w:rsidP="00F30736">
            <w:pPr>
              <w:spacing w:before="60" w:after="60" w:line="360" w:lineRule="exact"/>
              <w:jc w:val="both"/>
              <w:rPr>
                <w:rFonts w:ascii="Times New Roman" w:hAnsi="Times New Roman" w:cs="Times New Roman"/>
                <w:b/>
                <w:sz w:val="28"/>
                <w:szCs w:val="28"/>
              </w:rPr>
            </w:pPr>
          </w:p>
        </w:tc>
        <w:tc>
          <w:tcPr>
            <w:tcW w:w="358" w:type="pct"/>
            <w:vMerge/>
            <w:tcBorders>
              <w:bottom w:val="nil"/>
              <w:right w:val="nil"/>
            </w:tcBorders>
            <w:shd w:val="clear" w:color="auto" w:fill="auto"/>
            <w:tcMar>
              <w:top w:w="100" w:type="dxa"/>
              <w:left w:w="100" w:type="dxa"/>
              <w:bottom w:w="100" w:type="dxa"/>
              <w:right w:w="100" w:type="dxa"/>
            </w:tcMar>
            <w:vAlign w:val="center"/>
          </w:tcPr>
          <w:p w14:paraId="49EAA8BF" w14:textId="77777777" w:rsidR="004141D4" w:rsidRPr="006545AD" w:rsidRDefault="004141D4" w:rsidP="00F30736">
            <w:pPr>
              <w:spacing w:before="60" w:after="60" w:line="360" w:lineRule="exact"/>
              <w:jc w:val="both"/>
              <w:rPr>
                <w:rFonts w:ascii="Times New Roman" w:hAnsi="Times New Roman" w:cs="Times New Roman"/>
                <w:b/>
                <w:sz w:val="28"/>
                <w:szCs w:val="28"/>
              </w:rPr>
            </w:pPr>
          </w:p>
        </w:tc>
        <w:tc>
          <w:tcPr>
            <w:tcW w:w="2514" w:type="pct"/>
            <w:tcBorders>
              <w:top w:val="nil"/>
              <w:left w:val="nil"/>
              <w:bottom w:val="nil"/>
              <w:right w:val="nil"/>
            </w:tcBorders>
            <w:shd w:val="clear" w:color="auto" w:fill="auto"/>
            <w:tcMar>
              <w:top w:w="100" w:type="dxa"/>
              <w:left w:w="100" w:type="dxa"/>
              <w:bottom w:w="100" w:type="dxa"/>
              <w:right w:w="100" w:type="dxa"/>
            </w:tcMar>
            <w:vAlign w:val="center"/>
          </w:tcPr>
          <w:p w14:paraId="4A587B15" w14:textId="77777777" w:rsidR="004141D4" w:rsidRPr="006545AD" w:rsidRDefault="004141D4" w:rsidP="00F30736">
            <w:pPr>
              <w:spacing w:before="60" w:after="60" w:line="360" w:lineRule="exact"/>
              <w:jc w:val="center"/>
              <w:rPr>
                <w:rFonts w:ascii="Times New Roman" w:hAnsi="Times New Roman" w:cs="Times New Roman"/>
                <w:sz w:val="28"/>
                <w:szCs w:val="28"/>
              </w:rPr>
            </w:pPr>
            <w:r w:rsidRPr="006545AD">
              <w:rPr>
                <w:rFonts w:ascii="Times New Roman" w:hAnsi="Times New Roman" w:cs="Times New Roman"/>
                <w:sz w:val="28"/>
                <w:szCs w:val="28"/>
              </w:rPr>
              <w:t xml:space="preserve">Tổng thu ngân sách nhà nước </w:t>
            </w:r>
            <w:r w:rsidRPr="006545AD">
              <w:rPr>
                <w:rFonts w:ascii="Times New Roman" w:eastAsia="Times New Roman" w:hAnsi="Times New Roman" w:cs="Times New Roman"/>
                <w:sz w:val="28"/>
                <w:szCs w:val="28"/>
              </w:rPr>
              <w:t>(không bao gồm</w:t>
            </w:r>
            <w:r w:rsidRPr="006545AD">
              <w:rPr>
                <w:rFonts w:ascii="Times New Roman" w:eastAsia="Times New Roman" w:hAnsi="Times New Roman" w:cs="Times New Roman"/>
                <w:b/>
                <w:sz w:val="28"/>
                <w:szCs w:val="28"/>
              </w:rPr>
              <w:t xml:space="preserve"> </w:t>
            </w:r>
            <w:r w:rsidRPr="006545AD">
              <w:rPr>
                <w:rFonts w:ascii="Times New Roman" w:eastAsia="Times New Roman" w:hAnsi="Times New Roman" w:cs="Times New Roman"/>
                <w:sz w:val="28"/>
                <w:szCs w:val="28"/>
              </w:rPr>
              <w:t>các khoản thu từ nhà, đất và thu từ hoạt động xổ số kiến thiết)</w:t>
            </w:r>
          </w:p>
        </w:tc>
        <w:tc>
          <w:tcPr>
            <w:tcW w:w="479" w:type="pct"/>
            <w:vMerge/>
            <w:tcBorders>
              <w:bottom w:val="nil"/>
              <w:right w:val="nil"/>
            </w:tcBorders>
            <w:shd w:val="clear" w:color="auto" w:fill="auto"/>
            <w:tcMar>
              <w:top w:w="100" w:type="dxa"/>
              <w:left w:w="100" w:type="dxa"/>
              <w:bottom w:w="100" w:type="dxa"/>
              <w:right w:w="100" w:type="dxa"/>
            </w:tcMar>
            <w:vAlign w:val="center"/>
          </w:tcPr>
          <w:p w14:paraId="3F76AA59" w14:textId="77777777" w:rsidR="004141D4" w:rsidRPr="006545AD" w:rsidRDefault="004141D4" w:rsidP="00F30736">
            <w:pPr>
              <w:spacing w:before="60" w:after="60" w:line="360" w:lineRule="exact"/>
              <w:jc w:val="both"/>
              <w:rPr>
                <w:rFonts w:ascii="Times New Roman" w:hAnsi="Times New Roman" w:cs="Times New Roman"/>
                <w:b/>
                <w:sz w:val="28"/>
                <w:szCs w:val="28"/>
              </w:rPr>
            </w:pPr>
          </w:p>
        </w:tc>
      </w:tr>
    </w:tbl>
    <w:p w14:paraId="42A5324D" w14:textId="77777777" w:rsidR="00EE2829" w:rsidRDefault="004141D4" w:rsidP="004141D4">
      <w:pPr>
        <w:spacing w:before="60" w:after="60" w:line="360" w:lineRule="exact"/>
        <w:jc w:val="both"/>
        <w:rPr>
          <w:rFonts w:ascii="Times New Roman" w:hAnsi="Times New Roman" w:cs="Times New Roman"/>
          <w:b/>
          <w:sz w:val="28"/>
          <w:szCs w:val="28"/>
        </w:rPr>
      </w:pPr>
      <w:r w:rsidRPr="006545AD">
        <w:rPr>
          <w:rFonts w:ascii="Times New Roman" w:hAnsi="Times New Roman" w:cs="Times New Roman"/>
          <w:b/>
          <w:sz w:val="28"/>
          <w:szCs w:val="28"/>
        </w:rPr>
        <w:tab/>
      </w:r>
    </w:p>
    <w:p w14:paraId="1B39611C" w14:textId="2807E55E" w:rsidR="004141D4" w:rsidRPr="006545AD" w:rsidRDefault="00EE2829" w:rsidP="004141D4">
      <w:pPr>
        <w:spacing w:before="60" w:after="60" w:line="360" w:lineRule="exact"/>
        <w:jc w:val="both"/>
        <w:rPr>
          <w:rFonts w:ascii="Times New Roman" w:hAnsi="Times New Roman" w:cs="Times New Roman"/>
          <w:spacing w:val="-6"/>
          <w:sz w:val="28"/>
          <w:szCs w:val="28"/>
        </w:rPr>
      </w:pPr>
      <w:r>
        <w:rPr>
          <w:rFonts w:ascii="Times New Roman" w:hAnsi="Times New Roman" w:cs="Times New Roman"/>
          <w:b/>
          <w:sz w:val="28"/>
          <w:szCs w:val="28"/>
        </w:rPr>
        <w:tab/>
      </w:r>
      <w:r w:rsidR="004141D4" w:rsidRPr="006545AD">
        <w:rPr>
          <w:rFonts w:ascii="Times New Roman" w:hAnsi="Times New Roman" w:cs="Times New Roman"/>
          <w:b/>
          <w:spacing w:val="-6"/>
          <w:sz w:val="28"/>
          <w:szCs w:val="28"/>
        </w:rPr>
        <w:t>2. Phân tổ chủ yếu:</w:t>
      </w:r>
      <w:r w:rsidR="004141D4" w:rsidRPr="006545AD">
        <w:rPr>
          <w:rFonts w:ascii="Times New Roman" w:hAnsi="Times New Roman" w:cs="Times New Roman"/>
          <w:spacing w:val="-6"/>
          <w:sz w:val="28"/>
          <w:szCs w:val="28"/>
        </w:rPr>
        <w:t xml:space="preserve"> Loại thuế (thuế bảo vệ môi trường và thuế tài nguyên).</w:t>
      </w:r>
    </w:p>
    <w:p w14:paraId="034F28CC" w14:textId="77777777" w:rsidR="004141D4" w:rsidRPr="006545AD" w:rsidRDefault="004141D4" w:rsidP="004141D4">
      <w:pPr>
        <w:spacing w:before="60" w:after="60" w:line="360" w:lineRule="exact"/>
        <w:jc w:val="both"/>
        <w:rPr>
          <w:rFonts w:ascii="Times New Roman" w:hAnsi="Times New Roman" w:cs="Times New Roman"/>
          <w:sz w:val="28"/>
          <w:szCs w:val="28"/>
        </w:rPr>
      </w:pPr>
      <w:r w:rsidRPr="006545AD">
        <w:rPr>
          <w:rFonts w:ascii="Times New Roman" w:hAnsi="Times New Roman" w:cs="Times New Roman"/>
          <w:b/>
          <w:sz w:val="28"/>
          <w:szCs w:val="28"/>
        </w:rPr>
        <w:tab/>
        <w:t xml:space="preserve">3. Kỳ công bố: </w:t>
      </w:r>
      <w:r w:rsidRPr="006545AD">
        <w:rPr>
          <w:rFonts w:ascii="Times New Roman" w:hAnsi="Times New Roman" w:cs="Times New Roman"/>
          <w:sz w:val="28"/>
          <w:szCs w:val="28"/>
        </w:rPr>
        <w:t>Năm.</w:t>
      </w:r>
    </w:p>
    <w:p w14:paraId="0EDCC160" w14:textId="77777777" w:rsidR="004141D4" w:rsidRPr="006545AD" w:rsidRDefault="004141D4" w:rsidP="004141D4">
      <w:pPr>
        <w:spacing w:before="60" w:after="60" w:line="360" w:lineRule="exact"/>
        <w:jc w:val="both"/>
        <w:rPr>
          <w:rFonts w:ascii="Times New Roman" w:hAnsi="Times New Roman" w:cs="Times New Roman"/>
          <w:b/>
          <w:sz w:val="28"/>
          <w:szCs w:val="28"/>
        </w:rPr>
      </w:pPr>
      <w:r w:rsidRPr="006545AD">
        <w:rPr>
          <w:rFonts w:ascii="Times New Roman" w:hAnsi="Times New Roman" w:cs="Times New Roman"/>
          <w:b/>
          <w:sz w:val="28"/>
          <w:szCs w:val="28"/>
        </w:rPr>
        <w:tab/>
        <w:t>4. Nguồn số liệu</w:t>
      </w:r>
      <w:r w:rsidRPr="006545AD">
        <w:rPr>
          <w:rFonts w:ascii="Times New Roman" w:hAnsi="Times New Roman" w:cs="Times New Roman"/>
          <w:sz w:val="28"/>
          <w:szCs w:val="28"/>
        </w:rPr>
        <w:t>: Dữ liệu hành chính.</w:t>
      </w:r>
    </w:p>
    <w:p w14:paraId="196FB822" w14:textId="51F70FFA" w:rsidR="00EE2829" w:rsidRDefault="004141D4" w:rsidP="004141D4">
      <w:pPr>
        <w:spacing w:beforeLines="40" w:before="96" w:afterLines="40" w:after="96" w:line="360" w:lineRule="exact"/>
        <w:jc w:val="both"/>
        <w:rPr>
          <w:rFonts w:ascii="Times New Roman" w:hAnsi="Times New Roman" w:cs="Times New Roman"/>
          <w:b/>
          <w:sz w:val="28"/>
          <w:szCs w:val="28"/>
        </w:rPr>
      </w:pPr>
      <w:r w:rsidRPr="006545AD">
        <w:rPr>
          <w:rFonts w:ascii="Times New Roman" w:hAnsi="Times New Roman" w:cs="Times New Roman"/>
          <w:b/>
          <w:sz w:val="28"/>
          <w:szCs w:val="28"/>
        </w:rPr>
        <w:tab/>
      </w:r>
    </w:p>
    <w:p w14:paraId="78F8E6E9" w14:textId="6DF7AC11" w:rsidR="0000538F" w:rsidRPr="006545AD" w:rsidRDefault="00EE2829" w:rsidP="004141D4">
      <w:pPr>
        <w:spacing w:beforeLines="40" w:before="96" w:afterLines="40" w:after="96" w:line="360" w:lineRule="exact"/>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ab/>
      </w:r>
      <w:r w:rsidR="004141D4" w:rsidRPr="006545AD">
        <w:rPr>
          <w:rFonts w:ascii="Times New Roman" w:hAnsi="Times New Roman" w:cs="Times New Roman"/>
          <w:b/>
          <w:sz w:val="28"/>
          <w:szCs w:val="28"/>
        </w:rPr>
        <w:t xml:space="preserve">5. Cơ quan chịu trách nhiệm thu thập, tổng hợp: </w:t>
      </w:r>
      <w:r w:rsidR="004141D4" w:rsidRPr="006545AD">
        <w:rPr>
          <w:rFonts w:ascii="Times New Roman" w:hAnsi="Times New Roman" w:cs="Times New Roman"/>
          <w:sz w:val="28"/>
          <w:szCs w:val="28"/>
        </w:rPr>
        <w:t>Bộ Tài chính.</w:t>
      </w:r>
    </w:p>
    <w:p w14:paraId="0534745B" w14:textId="1D4205B3" w:rsidR="00F408D5" w:rsidRPr="006545AD" w:rsidRDefault="00271007" w:rsidP="0000538F">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C574CF">
        <w:rPr>
          <w:rFonts w:ascii="Times New Roman" w:eastAsia="Times New Roman" w:hAnsi="Times New Roman" w:cs="Times New Roman"/>
          <w:b/>
          <w:sz w:val="28"/>
          <w:szCs w:val="28"/>
        </w:rPr>
        <w:t>3</w:t>
      </w:r>
      <w:r w:rsidR="00836A4E" w:rsidRPr="006545AD">
        <w:rPr>
          <w:rFonts w:ascii="Times New Roman" w:eastAsia="Times New Roman" w:hAnsi="Times New Roman" w:cs="Times New Roman"/>
          <w:b/>
          <w:sz w:val="28"/>
          <w:szCs w:val="28"/>
        </w:rPr>
        <w:t>.1</w:t>
      </w:r>
      <w:r w:rsidR="000950C2" w:rsidRPr="006545AD">
        <w:rPr>
          <w:rFonts w:ascii="Times New Roman" w:eastAsia="Times New Roman" w:hAnsi="Times New Roman" w:cs="Times New Roman"/>
          <w:b/>
          <w:sz w:val="28"/>
          <w:szCs w:val="28"/>
        </w:rPr>
        <w:t>3</w:t>
      </w:r>
      <w:r w:rsidR="006E7C70" w:rsidRPr="006545AD">
        <w:rPr>
          <w:rFonts w:ascii="Times New Roman" w:eastAsia="Times New Roman" w:hAnsi="Times New Roman" w:cs="Times New Roman"/>
          <w:b/>
          <w:sz w:val="28"/>
          <w:szCs w:val="28"/>
        </w:rPr>
        <w:t xml:space="preserve">. Tỷ lệ chi cho hoạt động bảo vệ môi trường so với </w:t>
      </w:r>
      <w:r w:rsidR="0000538F" w:rsidRPr="006545AD">
        <w:rPr>
          <w:rFonts w:ascii="Times New Roman" w:eastAsia="Times New Roman" w:hAnsi="Times New Roman" w:cs="Times New Roman"/>
          <w:b/>
          <w:sz w:val="28"/>
          <w:szCs w:val="28"/>
        </w:rPr>
        <w:t>GDP</w:t>
      </w:r>
    </w:p>
    <w:p w14:paraId="486075BD" w14:textId="77777777" w:rsidR="00F408D5" w:rsidRPr="006545AD" w:rsidRDefault="005B04E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3AABCC7F" w14:textId="77777777" w:rsidR="0000538F" w:rsidRPr="006545AD" w:rsidRDefault="005B04E9"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00538F" w:rsidRPr="006545AD">
        <w:rPr>
          <w:rFonts w:ascii="Times New Roman" w:eastAsia="Times New Roman" w:hAnsi="Times New Roman" w:cs="Times New Roman"/>
          <w:sz w:val="28"/>
          <w:szCs w:val="28"/>
        </w:rPr>
        <w:t>Chi hoạt động bảo vệ môi trường là toàn bộ các khoản chi từ các nguồn cho hoạt động làm trong sạch và bảo vệ môi trường. Các nguồn chi hoạt động bảo vệ môi trường bao gồm:</w:t>
      </w:r>
    </w:p>
    <w:p w14:paraId="6BD0EA7E"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Chi từ nguồn ngân sách nhà nước (chi sự nghiệp môi trường, chi sự nghiệp kinh tế, chi sự nghiệp khoa học, chi đầu tư phát triển...);</w:t>
      </w:r>
    </w:p>
    <w:p w14:paraId="48C0D31E"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 Chi từ nguồn tài trợ quốc tế; </w:t>
      </w:r>
    </w:p>
    <w:p w14:paraId="286FFCBE"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Các khoản chi khác do các tổ chức, cá nhân thực hiện.</w:t>
      </w:r>
    </w:p>
    <w:p w14:paraId="6B3FCC81"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Tổng sản phẩm trong nước (GDP) là giá trị sản phẩm vật chất và dịch vụ cuối cùng được tạo ra của nền kinh tế trong một khoảng thời gian nhất định. Điều này có nghĩa trong GDP không tính các giá trị sản phẩm vật chất và dịch vụ đã sử dụng ở các khâu trung gian trong quá trình sản xuất tạo ra sản phẩm.</w:t>
      </w:r>
    </w:p>
    <w:p w14:paraId="099555A5"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Công thức tính:</w:t>
      </w: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2994"/>
        <w:gridCol w:w="650"/>
        <w:gridCol w:w="4561"/>
        <w:gridCol w:w="867"/>
      </w:tblGrid>
      <w:tr w:rsidR="0000538F" w:rsidRPr="006545AD" w14:paraId="2AB94D82" w14:textId="77777777" w:rsidTr="00B307A2">
        <w:trPr>
          <w:trHeight w:val="908"/>
          <w:jc w:val="center"/>
        </w:trPr>
        <w:tc>
          <w:tcPr>
            <w:tcW w:w="1650" w:type="pct"/>
            <w:vMerge w:val="restart"/>
            <w:tcBorders>
              <w:top w:val="nil"/>
              <w:left w:val="nil"/>
              <w:bottom w:val="nil"/>
              <w:right w:val="nil"/>
            </w:tcBorders>
            <w:tcMar>
              <w:top w:w="100" w:type="dxa"/>
              <w:left w:w="100" w:type="dxa"/>
              <w:bottom w:w="100" w:type="dxa"/>
              <w:right w:w="100" w:type="dxa"/>
            </w:tcMar>
            <w:vAlign w:val="center"/>
          </w:tcPr>
          <w:p w14:paraId="41035A42" w14:textId="77777777" w:rsidR="0000538F" w:rsidRPr="006545AD" w:rsidRDefault="0000538F" w:rsidP="0000538F">
            <w:pPr>
              <w:spacing w:beforeLines="40" w:before="96" w:afterLines="40" w:after="96"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chi cho hoạt động bảo vệ môi trường so với GDP (%)</w:t>
            </w:r>
          </w:p>
        </w:tc>
        <w:tc>
          <w:tcPr>
            <w:tcW w:w="358" w:type="pct"/>
            <w:vMerge w:val="restart"/>
            <w:tcBorders>
              <w:top w:val="nil"/>
              <w:left w:val="nil"/>
              <w:bottom w:val="nil"/>
              <w:right w:val="nil"/>
            </w:tcBorders>
            <w:tcMar>
              <w:top w:w="100" w:type="dxa"/>
              <w:left w:w="100" w:type="dxa"/>
              <w:bottom w:w="100" w:type="dxa"/>
              <w:right w:w="100" w:type="dxa"/>
            </w:tcMar>
            <w:vAlign w:val="center"/>
          </w:tcPr>
          <w:p w14:paraId="38AA5C1C"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514" w:type="pct"/>
            <w:tcBorders>
              <w:top w:val="nil"/>
              <w:left w:val="nil"/>
              <w:bottom w:val="single" w:sz="8" w:space="0" w:color="000000"/>
              <w:right w:val="nil"/>
            </w:tcBorders>
            <w:tcMar>
              <w:top w:w="100" w:type="dxa"/>
              <w:left w:w="100" w:type="dxa"/>
              <w:bottom w:w="100" w:type="dxa"/>
              <w:right w:w="100" w:type="dxa"/>
            </w:tcMar>
            <w:vAlign w:val="center"/>
          </w:tcPr>
          <w:p w14:paraId="7A9C789B" w14:textId="77777777" w:rsidR="0000538F" w:rsidRPr="006545AD" w:rsidRDefault="0000538F" w:rsidP="0000538F">
            <w:pPr>
              <w:spacing w:beforeLines="40" w:before="96" w:afterLines="40" w:after="96"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Chi cho hoạt động bảo vệ môi trường</w:t>
            </w:r>
          </w:p>
        </w:tc>
        <w:tc>
          <w:tcPr>
            <w:tcW w:w="478" w:type="pct"/>
            <w:vMerge w:val="restart"/>
            <w:tcBorders>
              <w:top w:val="nil"/>
              <w:left w:val="nil"/>
              <w:bottom w:val="nil"/>
              <w:right w:val="nil"/>
            </w:tcBorders>
            <w:tcMar>
              <w:top w:w="100" w:type="dxa"/>
              <w:left w:w="100" w:type="dxa"/>
              <w:bottom w:w="100" w:type="dxa"/>
              <w:right w:w="100" w:type="dxa"/>
            </w:tcMar>
            <w:vAlign w:val="center"/>
          </w:tcPr>
          <w:p w14:paraId="5FCBDBBA"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lang w:val="vi-VN"/>
              </w:rPr>
              <w:t>x</w:t>
            </w:r>
            <w:r w:rsidRPr="006545AD">
              <w:rPr>
                <w:rFonts w:ascii="Times New Roman" w:eastAsia="Times New Roman" w:hAnsi="Times New Roman" w:cs="Times New Roman"/>
                <w:sz w:val="28"/>
                <w:szCs w:val="28"/>
              </w:rPr>
              <w:t xml:space="preserve"> 100</w:t>
            </w:r>
          </w:p>
        </w:tc>
      </w:tr>
      <w:tr w:rsidR="0000538F" w:rsidRPr="006545AD" w14:paraId="1798DFDA" w14:textId="77777777" w:rsidTr="00B307A2">
        <w:trPr>
          <w:trHeight w:val="286"/>
          <w:jc w:val="center"/>
        </w:trPr>
        <w:tc>
          <w:tcPr>
            <w:tcW w:w="1650" w:type="pct"/>
            <w:vMerge/>
            <w:tcBorders>
              <w:bottom w:val="nil"/>
              <w:right w:val="nil"/>
            </w:tcBorders>
            <w:shd w:val="clear" w:color="auto" w:fill="auto"/>
            <w:tcMar>
              <w:top w:w="100" w:type="dxa"/>
              <w:left w:w="100" w:type="dxa"/>
              <w:bottom w:w="100" w:type="dxa"/>
              <w:right w:w="100" w:type="dxa"/>
            </w:tcMar>
            <w:vAlign w:val="center"/>
          </w:tcPr>
          <w:p w14:paraId="21DF2D06"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p>
        </w:tc>
        <w:tc>
          <w:tcPr>
            <w:tcW w:w="358" w:type="pct"/>
            <w:vMerge/>
            <w:tcBorders>
              <w:bottom w:val="nil"/>
              <w:right w:val="nil"/>
            </w:tcBorders>
            <w:shd w:val="clear" w:color="auto" w:fill="auto"/>
            <w:tcMar>
              <w:top w:w="100" w:type="dxa"/>
              <w:left w:w="100" w:type="dxa"/>
              <w:bottom w:w="100" w:type="dxa"/>
              <w:right w:w="100" w:type="dxa"/>
            </w:tcMar>
            <w:vAlign w:val="center"/>
          </w:tcPr>
          <w:p w14:paraId="09CF0CE2"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p>
        </w:tc>
        <w:tc>
          <w:tcPr>
            <w:tcW w:w="2514" w:type="pct"/>
            <w:tcBorders>
              <w:top w:val="nil"/>
              <w:left w:val="nil"/>
              <w:bottom w:val="nil"/>
              <w:right w:val="nil"/>
            </w:tcBorders>
            <w:shd w:val="clear" w:color="auto" w:fill="auto"/>
            <w:tcMar>
              <w:top w:w="100" w:type="dxa"/>
              <w:left w:w="100" w:type="dxa"/>
              <w:bottom w:w="100" w:type="dxa"/>
              <w:right w:w="100" w:type="dxa"/>
            </w:tcMar>
            <w:vAlign w:val="center"/>
          </w:tcPr>
          <w:p w14:paraId="672DFB70" w14:textId="2A621CC4" w:rsidR="0000538F" w:rsidRPr="006545AD" w:rsidRDefault="0000538F" w:rsidP="00843CDA">
            <w:pPr>
              <w:spacing w:beforeLines="40" w:before="96" w:afterLines="40" w:after="96"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GDP </w:t>
            </w:r>
          </w:p>
        </w:tc>
        <w:tc>
          <w:tcPr>
            <w:tcW w:w="478" w:type="pct"/>
            <w:vMerge/>
            <w:tcBorders>
              <w:bottom w:val="nil"/>
              <w:right w:val="nil"/>
            </w:tcBorders>
            <w:shd w:val="clear" w:color="auto" w:fill="auto"/>
            <w:tcMar>
              <w:top w:w="100" w:type="dxa"/>
              <w:left w:w="100" w:type="dxa"/>
              <w:bottom w:w="100" w:type="dxa"/>
              <w:right w:w="100" w:type="dxa"/>
            </w:tcMar>
            <w:vAlign w:val="center"/>
          </w:tcPr>
          <w:p w14:paraId="6A13E083"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p>
        </w:tc>
      </w:tr>
    </w:tbl>
    <w:p w14:paraId="10F642E1" w14:textId="48EF5149" w:rsidR="001B23A9" w:rsidRPr="009E1776" w:rsidRDefault="0000538F" w:rsidP="0000538F">
      <w:pPr>
        <w:spacing w:beforeLines="40" w:before="96" w:afterLines="40" w:after="96" w:line="360" w:lineRule="exact"/>
        <w:jc w:val="both"/>
        <w:rPr>
          <w:rFonts w:ascii="Times New Roman" w:eastAsia="Times New Roman" w:hAnsi="Times New Roman" w:cs="Times New Roman"/>
          <w:i/>
          <w:sz w:val="28"/>
          <w:szCs w:val="28"/>
        </w:rPr>
      </w:pPr>
      <w:r w:rsidRPr="006545AD">
        <w:rPr>
          <w:rFonts w:ascii="Times New Roman" w:eastAsia="Times New Roman" w:hAnsi="Times New Roman" w:cs="Times New Roman"/>
          <w:b/>
          <w:sz w:val="28"/>
          <w:szCs w:val="28"/>
        </w:rPr>
        <w:tab/>
      </w:r>
      <w:r w:rsidR="001B23A9" w:rsidRPr="009E1776">
        <w:rPr>
          <w:rFonts w:ascii="Times New Roman" w:eastAsia="Times New Roman" w:hAnsi="Times New Roman" w:cs="Times New Roman"/>
          <w:i/>
          <w:sz w:val="28"/>
          <w:szCs w:val="28"/>
        </w:rPr>
        <w:t>Lưu ý: Số liệu GDP được tính theo giá hiện hành</w:t>
      </w:r>
    </w:p>
    <w:p w14:paraId="5ED07500" w14:textId="3CAB635E" w:rsidR="0000538F" w:rsidRPr="006545AD" w:rsidRDefault="001B23A9"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00538F" w:rsidRPr="006545AD">
        <w:rPr>
          <w:rFonts w:ascii="Times New Roman" w:eastAsia="Times New Roman" w:hAnsi="Times New Roman" w:cs="Times New Roman"/>
          <w:b/>
          <w:sz w:val="28"/>
          <w:szCs w:val="28"/>
        </w:rPr>
        <w:t>2. Phân tổ chủ yếu</w:t>
      </w:r>
    </w:p>
    <w:p w14:paraId="7E2573C9"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Nguồn, khoản chi;</w:t>
      </w:r>
    </w:p>
    <w:p w14:paraId="7DD7F0B5"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Bộ, ngành;</w:t>
      </w:r>
    </w:p>
    <w:p w14:paraId="603A5859"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Tỉnh, thành phố trực thuộc Trung ương.</w:t>
      </w:r>
    </w:p>
    <w:p w14:paraId="395C2D44"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 xml:space="preserve">3. Kỳ công bố: </w:t>
      </w:r>
      <w:r w:rsidRPr="006545AD">
        <w:rPr>
          <w:rFonts w:ascii="Times New Roman" w:eastAsia="Times New Roman" w:hAnsi="Times New Roman" w:cs="Times New Roman"/>
          <w:sz w:val="28"/>
          <w:szCs w:val="28"/>
        </w:rPr>
        <w:t>Năm</w:t>
      </w:r>
    </w:p>
    <w:p w14:paraId="204168DD"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4. Nguồn số liệu:</w:t>
      </w:r>
    </w:p>
    <w:p w14:paraId="0860B3FD"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Điều tra thống kê;</w:t>
      </w:r>
    </w:p>
    <w:p w14:paraId="00E5B240"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Dữ liệu hành chính.</w:t>
      </w:r>
    </w:p>
    <w:p w14:paraId="06F403B7" w14:textId="77777777" w:rsidR="0000538F" w:rsidRPr="006545AD" w:rsidRDefault="0000538F" w:rsidP="0000538F">
      <w:pPr>
        <w:spacing w:beforeLines="40" w:before="96" w:afterLines="40" w:after="96"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5. Cơ quan chịu trách nhiệm thu thập, tổng hợp:</w:t>
      </w:r>
    </w:p>
    <w:p w14:paraId="5A3F3B60" w14:textId="15DB6B1F"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B72341"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Chủ trì: Bộ Tài nguyên và Môi trường;</w:t>
      </w:r>
    </w:p>
    <w:p w14:paraId="46D5CA8C" w14:textId="1DA93771" w:rsidR="0000538F" w:rsidRPr="006545AD" w:rsidRDefault="0000538F" w:rsidP="0000538F">
      <w:pPr>
        <w:spacing w:beforeLines="40" w:before="96" w:afterLines="40" w:after="96"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00B72341"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Phối hợp: Bộ Tài chính, Bộ Kế hoạch và Đầu tư (Tổng cục Thống kê).</w:t>
      </w:r>
    </w:p>
    <w:p w14:paraId="4EB8330D" w14:textId="3068F728" w:rsidR="00271007" w:rsidRPr="006545AD" w:rsidRDefault="00271007">
      <w:pPr>
        <w:spacing w:before="60" w:after="60" w:line="360" w:lineRule="exact"/>
        <w:jc w:val="both"/>
        <w:rPr>
          <w:rFonts w:ascii="Times New Roman" w:eastAsia="Times New Roman" w:hAnsi="Times New Roman" w:cs="Times New Roman"/>
          <w:b/>
          <w:sz w:val="28"/>
          <w:szCs w:val="28"/>
        </w:rPr>
      </w:pPr>
    </w:p>
    <w:p w14:paraId="7E9628D9" w14:textId="782257C0" w:rsidR="00F408D5" w:rsidRPr="006545AD" w:rsidRDefault="00271007"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ab/>
      </w:r>
      <w:r w:rsidR="006E7C70" w:rsidRPr="006545AD">
        <w:rPr>
          <w:rFonts w:ascii="Times New Roman" w:eastAsia="Times New Roman" w:hAnsi="Times New Roman" w:cs="Times New Roman"/>
          <w:b/>
          <w:sz w:val="28"/>
          <w:szCs w:val="28"/>
        </w:rPr>
        <w:t>Mục tiêu</w:t>
      </w:r>
      <w:r w:rsidR="009C7970" w:rsidRPr="006545AD">
        <w:rPr>
          <w:rFonts w:ascii="Times New Roman" w:eastAsia="Times New Roman" w:hAnsi="Times New Roman" w:cs="Times New Roman"/>
          <w:b/>
          <w:sz w:val="28"/>
          <w:szCs w:val="28"/>
        </w:rPr>
        <w:t xml:space="preserve"> </w:t>
      </w:r>
      <w:r w:rsidR="006E7C70" w:rsidRPr="006545AD">
        <w:rPr>
          <w:rFonts w:ascii="Times New Roman" w:eastAsia="Times New Roman" w:hAnsi="Times New Roman" w:cs="Times New Roman"/>
          <w:b/>
          <w:sz w:val="28"/>
          <w:szCs w:val="28"/>
        </w:rPr>
        <w:t>4: Xanh hóa quá trình chuyển đổi trên nguyên tắc bình đẳng, bao trùm, nâng cao năng lực chống chịu</w:t>
      </w:r>
    </w:p>
    <w:p w14:paraId="1A804DA5" w14:textId="33AC04C6" w:rsidR="00652EC1" w:rsidRPr="006545AD" w:rsidRDefault="00652EC1" w:rsidP="005725BC">
      <w:pPr>
        <w:spacing w:before="240"/>
        <w:rPr>
          <w:rFonts w:ascii="Times New Roman" w:eastAsia="Times New Roman" w:hAnsi="Times New Roman" w:cs="Times New Roman"/>
          <w:sz w:val="28"/>
          <w:szCs w:val="28"/>
          <w:lang w:val="en-US"/>
        </w:rPr>
      </w:pPr>
      <w:r w:rsidRPr="006545AD">
        <w:rPr>
          <w:rFonts w:ascii="Times New Roman" w:eastAsia="Times New Roman" w:hAnsi="Times New Roman" w:cs="Times New Roman"/>
          <w:b/>
          <w:sz w:val="28"/>
          <w:szCs w:val="28"/>
        </w:rPr>
        <w:tab/>
      </w:r>
      <w:r w:rsidR="008851BE" w:rsidRPr="006545AD">
        <w:rPr>
          <w:rFonts w:ascii="Times New Roman" w:eastAsia="Times New Roman" w:hAnsi="Times New Roman" w:cs="Times New Roman"/>
          <w:b/>
          <w:sz w:val="28"/>
          <w:szCs w:val="28"/>
        </w:rPr>
        <w:t>I. Bình đẳng, bao trùm</w:t>
      </w:r>
    </w:p>
    <w:p w14:paraId="61A9FC79" w14:textId="77777777" w:rsidR="00F408D5" w:rsidRPr="006545AD" w:rsidRDefault="005B04E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4.1. Tỷ lệ ngày trong năm có nồng độ các chất trong môi trường không khí vượt quá quy chuẩn kỹ thuật cho phép</w:t>
      </w:r>
    </w:p>
    <w:p w14:paraId="5147A0AC" w14:textId="77777777" w:rsidR="00F408D5" w:rsidRPr="006545AD" w:rsidRDefault="005B04E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43EBC3D8" w14:textId="77777777" w:rsidR="00783388" w:rsidRPr="006545AD" w:rsidRDefault="00783388" w:rsidP="00962F16">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Tỷ lệ ngày có nồng độ một số chất trong môi trường không khí vượt quá</w:t>
      </w:r>
      <w:r w:rsidR="00730429" w:rsidRPr="006545AD">
        <w:rPr>
          <w:rFonts w:ascii="Times New Roman" w:eastAsia="Times New Roman" w:hAnsi="Times New Roman" w:cs="Times New Roman"/>
          <w:sz w:val="28"/>
          <w:szCs w:val="28"/>
        </w:rPr>
        <w:t xml:space="preserve"> quy chuẩn kỹ thuật cho phép là</w:t>
      </w:r>
      <w:r w:rsidRPr="006545AD">
        <w:rPr>
          <w:rFonts w:ascii="Times New Roman" w:eastAsia="Times New Roman" w:hAnsi="Times New Roman" w:cs="Times New Roman"/>
          <w:sz w:val="28"/>
          <w:szCs w:val="28"/>
        </w:rPr>
        <w:t xml:space="preserve"> tỷ lệ phần trăm giữa số ngày được quan trắc có giá trị trung bình 24 giờ đối với TSP, PM10, PM2,5, SO2, NO2, Pb hoặc trung bình 8 giờ đối với CO, O3 vượt quá QCVN so với tổng số ngày đo trong năm (quy định tổng số ngày được quan trắc trong năm phải đạt tối thiểu 70% tổng số ngày trong một năm).</w:t>
      </w:r>
    </w:p>
    <w:p w14:paraId="46C51BBF" w14:textId="77777777" w:rsidR="00783388" w:rsidRPr="006545AD" w:rsidRDefault="00783388" w:rsidP="00962F16">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Ngày có nồng độ một số chất trong không khí vượt quá quy chuẩn kỹ thuật cho phép là những ngày trong năm có giá trị trung bình 24 giờ của TSP, PM10, PM2,5, SO2, NO2, Pb hoặc trung bình 8 giờ của CO, O3 cao hơn Quy chuẩn kỹ thuật quốc gia về chất lượng không khí xung quanh QCVN 05: 2013/BTNMT.</w:t>
      </w:r>
    </w:p>
    <w:p w14:paraId="12C645E8" w14:textId="77777777" w:rsidR="00783388" w:rsidRPr="006545AD" w:rsidRDefault="00783388" w:rsidP="00962F16">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Số liệu báo cáo của chỉ tiêu thống kê này được tính toán bằng số liệu quan trắc môi trường không khí xung quanh của các trạm quan trắc không khí tự động.</w:t>
      </w:r>
    </w:p>
    <w:p w14:paraId="5B748EC0" w14:textId="77777777" w:rsidR="00783388" w:rsidRPr="006545AD" w:rsidRDefault="00783388" w:rsidP="00962F16">
      <w:pPr>
        <w:spacing w:before="60" w:after="60" w:line="36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pacing w:val="-4"/>
          <w:sz w:val="28"/>
          <w:szCs w:val="28"/>
        </w:rPr>
        <w:t>Phương pháp quan trắc được thực hiện theo quy định tại Thông tư số 10/2021/TT-BTNMT ngày 30/6/2021 của Bộ trưởng Bộ TNMT quy định kỹ thuật quan trắc môi trường và quản lý thông tin, dữ liệu quan trắc chất lượng môi trường.</w:t>
      </w:r>
    </w:p>
    <w:p w14:paraId="219541CE" w14:textId="77777777" w:rsidR="00783388" w:rsidRPr="006545AD" w:rsidRDefault="00783388" w:rsidP="00783388">
      <w:pPr>
        <w:spacing w:before="60" w:after="60" w:line="360" w:lineRule="exact"/>
        <w:jc w:val="both"/>
        <w:rPr>
          <w:rFonts w:ascii="Times New Roman" w:eastAsia="Times New Roman" w:hAnsi="Times New Roman" w:cs="Times New Roman"/>
          <w:bCs/>
          <w:sz w:val="28"/>
          <w:szCs w:val="28"/>
          <w:lang w:val="en-US"/>
        </w:rPr>
      </w:pPr>
      <w:r w:rsidRPr="006545AD">
        <w:rPr>
          <w:rFonts w:ascii="Times New Roman" w:eastAsia="Times New Roman" w:hAnsi="Times New Roman" w:cs="Times New Roman"/>
          <w:b/>
          <w:sz w:val="28"/>
          <w:szCs w:val="28"/>
        </w:rPr>
        <w:tab/>
      </w:r>
      <w:r w:rsidRPr="006545AD">
        <w:rPr>
          <w:rFonts w:ascii="Times New Roman" w:eastAsia="Times New Roman" w:hAnsi="Times New Roman" w:cs="Times New Roman"/>
          <w:bCs/>
          <w:sz w:val="28"/>
          <w:szCs w:val="28"/>
          <w:lang w:val="en-US"/>
        </w:rPr>
        <w:t xml:space="preserve">Công thức tính: </w:t>
      </w:r>
    </w:p>
    <w:tbl>
      <w:tblPr>
        <w:tblStyle w:val="13"/>
        <w:tblW w:w="5146" w:type="pct"/>
        <w:jc w:val="center"/>
        <w:tblBorders>
          <w:top w:val="nil"/>
          <w:left w:val="nil"/>
          <w:bottom w:val="nil"/>
          <w:right w:val="nil"/>
          <w:insideH w:val="nil"/>
          <w:insideV w:val="nil"/>
        </w:tblBorders>
        <w:tblLook w:val="0600" w:firstRow="0" w:lastRow="0" w:firstColumn="0" w:lastColumn="0" w:noHBand="1" w:noVBand="1"/>
      </w:tblPr>
      <w:tblGrid>
        <w:gridCol w:w="2072"/>
        <w:gridCol w:w="358"/>
        <w:gridCol w:w="6006"/>
        <w:gridCol w:w="901"/>
      </w:tblGrid>
      <w:tr w:rsidR="00024D71" w:rsidRPr="006545AD" w14:paraId="54425FAF" w14:textId="77777777" w:rsidTr="005725BC">
        <w:trPr>
          <w:trHeight w:val="356"/>
          <w:jc w:val="center"/>
        </w:trPr>
        <w:tc>
          <w:tcPr>
            <w:tcW w:w="1111" w:type="pct"/>
            <w:vMerge w:val="restart"/>
            <w:tcBorders>
              <w:top w:val="nil"/>
              <w:left w:val="nil"/>
              <w:bottom w:val="nil"/>
              <w:right w:val="nil"/>
            </w:tcBorders>
            <w:tcMar>
              <w:top w:w="100" w:type="dxa"/>
              <w:left w:w="100" w:type="dxa"/>
              <w:bottom w:w="100" w:type="dxa"/>
              <w:right w:w="100" w:type="dxa"/>
            </w:tcMar>
            <w:vAlign w:val="center"/>
          </w:tcPr>
          <w:p w14:paraId="020A879D" w14:textId="77777777" w:rsidR="00783388" w:rsidRPr="006545AD" w:rsidRDefault="00783388"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en-US"/>
              </w:rPr>
              <w:t>Tỷ lệ ngày có nồng độ chất X vượt quá QCVN (%)</w:t>
            </w:r>
          </w:p>
        </w:tc>
        <w:tc>
          <w:tcPr>
            <w:tcW w:w="187" w:type="pct"/>
            <w:vMerge w:val="restart"/>
            <w:tcBorders>
              <w:top w:val="nil"/>
              <w:left w:val="nil"/>
              <w:bottom w:val="nil"/>
              <w:right w:val="nil"/>
            </w:tcBorders>
            <w:tcMar>
              <w:top w:w="100" w:type="dxa"/>
              <w:left w:w="100" w:type="dxa"/>
              <w:bottom w:w="100" w:type="dxa"/>
              <w:right w:w="100" w:type="dxa"/>
            </w:tcMar>
            <w:vAlign w:val="center"/>
          </w:tcPr>
          <w:p w14:paraId="727DF11F" w14:textId="77777777" w:rsidR="00783388" w:rsidRPr="006545AD" w:rsidRDefault="00783388"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3218" w:type="pct"/>
            <w:tcBorders>
              <w:top w:val="nil"/>
              <w:left w:val="nil"/>
              <w:bottom w:val="single" w:sz="8" w:space="0" w:color="000000"/>
              <w:right w:val="nil"/>
            </w:tcBorders>
            <w:tcMar>
              <w:top w:w="100" w:type="dxa"/>
              <w:left w:w="100" w:type="dxa"/>
              <w:bottom w:w="100" w:type="dxa"/>
              <w:right w:w="100" w:type="dxa"/>
            </w:tcMar>
            <w:vAlign w:val="center"/>
          </w:tcPr>
          <w:p w14:paraId="6498268C" w14:textId="77777777" w:rsidR="00783388" w:rsidRPr="006545AD" w:rsidRDefault="00783388"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en-US"/>
              </w:rPr>
              <w:t>Tổng số ngày được quan trắc trong năm có nồng độ chất X cao hơn QCVN (ngày)</w:t>
            </w:r>
          </w:p>
        </w:tc>
        <w:tc>
          <w:tcPr>
            <w:tcW w:w="484" w:type="pct"/>
            <w:vMerge w:val="restart"/>
            <w:tcBorders>
              <w:top w:val="nil"/>
              <w:left w:val="nil"/>
              <w:bottom w:val="nil"/>
              <w:right w:val="nil"/>
            </w:tcBorders>
            <w:tcMar>
              <w:top w:w="100" w:type="dxa"/>
              <w:left w:w="100" w:type="dxa"/>
              <w:bottom w:w="100" w:type="dxa"/>
              <w:right w:w="100" w:type="dxa"/>
            </w:tcMar>
            <w:vAlign w:val="center"/>
          </w:tcPr>
          <w:p w14:paraId="3C0BC577" w14:textId="77777777" w:rsidR="00783388" w:rsidRPr="006545AD" w:rsidRDefault="00783388" w:rsidP="005725BC">
            <w:pPr>
              <w:spacing w:line="360" w:lineRule="exact"/>
              <w:jc w:val="center"/>
              <w:rPr>
                <w:rFonts w:ascii="Times New Roman" w:eastAsia="Times New Roman" w:hAnsi="Times New Roman" w:cs="Times New Roman"/>
                <w:sz w:val="28"/>
                <w:szCs w:val="28"/>
              </w:rPr>
            </w:pPr>
          </w:p>
          <w:p w14:paraId="2AA342B2" w14:textId="77777777" w:rsidR="00783388" w:rsidRPr="006545AD" w:rsidRDefault="00783388"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x  100</w:t>
            </w:r>
          </w:p>
        </w:tc>
      </w:tr>
      <w:tr w:rsidR="002F5784" w:rsidRPr="006545AD" w14:paraId="6F032F68" w14:textId="77777777" w:rsidTr="005725BC">
        <w:trPr>
          <w:trHeight w:val="247"/>
          <w:jc w:val="center"/>
        </w:trPr>
        <w:tc>
          <w:tcPr>
            <w:tcW w:w="1111" w:type="pct"/>
            <w:vMerge/>
            <w:tcBorders>
              <w:bottom w:val="nil"/>
              <w:right w:val="nil"/>
            </w:tcBorders>
            <w:shd w:val="clear" w:color="auto" w:fill="auto"/>
            <w:tcMar>
              <w:top w:w="100" w:type="dxa"/>
              <w:left w:w="100" w:type="dxa"/>
              <w:bottom w:w="100" w:type="dxa"/>
              <w:right w:w="100" w:type="dxa"/>
            </w:tcMar>
            <w:vAlign w:val="center"/>
          </w:tcPr>
          <w:p w14:paraId="115D9F2F" w14:textId="77777777" w:rsidR="00783388" w:rsidRPr="006545AD" w:rsidRDefault="00783388" w:rsidP="005725BC">
            <w:pPr>
              <w:spacing w:line="360" w:lineRule="exact"/>
              <w:jc w:val="both"/>
              <w:rPr>
                <w:rFonts w:ascii="Times New Roman" w:eastAsia="Times New Roman" w:hAnsi="Times New Roman" w:cs="Times New Roman"/>
                <w:b/>
                <w:sz w:val="28"/>
                <w:szCs w:val="28"/>
              </w:rPr>
            </w:pPr>
          </w:p>
        </w:tc>
        <w:tc>
          <w:tcPr>
            <w:tcW w:w="187" w:type="pct"/>
            <w:vMerge/>
            <w:tcBorders>
              <w:bottom w:val="nil"/>
              <w:right w:val="nil"/>
            </w:tcBorders>
            <w:shd w:val="clear" w:color="auto" w:fill="auto"/>
            <w:tcMar>
              <w:top w:w="100" w:type="dxa"/>
              <w:left w:w="100" w:type="dxa"/>
              <w:bottom w:w="100" w:type="dxa"/>
              <w:right w:w="100" w:type="dxa"/>
            </w:tcMar>
            <w:vAlign w:val="center"/>
          </w:tcPr>
          <w:p w14:paraId="4FB0830C" w14:textId="77777777" w:rsidR="00783388" w:rsidRPr="006545AD" w:rsidRDefault="00783388" w:rsidP="005725BC">
            <w:pPr>
              <w:widowControl w:val="0"/>
              <w:pBdr>
                <w:top w:val="nil"/>
                <w:left w:val="nil"/>
                <w:bottom w:val="nil"/>
                <w:right w:val="nil"/>
                <w:between w:val="nil"/>
              </w:pBdr>
              <w:spacing w:line="360" w:lineRule="exact"/>
              <w:rPr>
                <w:rFonts w:ascii="Times New Roman" w:eastAsia="Times New Roman" w:hAnsi="Times New Roman" w:cs="Times New Roman"/>
                <w:b/>
                <w:sz w:val="28"/>
                <w:szCs w:val="28"/>
              </w:rPr>
            </w:pPr>
          </w:p>
        </w:tc>
        <w:tc>
          <w:tcPr>
            <w:tcW w:w="3218" w:type="pct"/>
            <w:tcBorders>
              <w:top w:val="nil"/>
              <w:left w:val="nil"/>
              <w:bottom w:val="nil"/>
              <w:right w:val="nil"/>
            </w:tcBorders>
            <w:shd w:val="clear" w:color="auto" w:fill="auto"/>
            <w:tcMar>
              <w:top w:w="100" w:type="dxa"/>
              <w:left w:w="100" w:type="dxa"/>
              <w:bottom w:w="100" w:type="dxa"/>
              <w:right w:w="100" w:type="dxa"/>
            </w:tcMar>
            <w:vAlign w:val="center"/>
          </w:tcPr>
          <w:p w14:paraId="41A04D4F" w14:textId="77777777" w:rsidR="00783388" w:rsidRPr="006545AD" w:rsidRDefault="00783388"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en-US"/>
              </w:rPr>
              <w:t>Tổng số ngày được quan trắc trong năm (ngày)</w:t>
            </w:r>
          </w:p>
        </w:tc>
        <w:tc>
          <w:tcPr>
            <w:tcW w:w="484" w:type="pct"/>
            <w:vMerge/>
            <w:tcBorders>
              <w:bottom w:val="nil"/>
              <w:right w:val="nil"/>
            </w:tcBorders>
            <w:shd w:val="clear" w:color="auto" w:fill="auto"/>
            <w:tcMar>
              <w:top w:w="100" w:type="dxa"/>
              <w:left w:w="100" w:type="dxa"/>
              <w:bottom w:w="100" w:type="dxa"/>
              <w:right w:w="100" w:type="dxa"/>
            </w:tcMar>
            <w:vAlign w:val="center"/>
          </w:tcPr>
          <w:p w14:paraId="3DC2A365" w14:textId="77777777" w:rsidR="00783388" w:rsidRPr="006545AD" w:rsidRDefault="00783388" w:rsidP="005725BC">
            <w:pPr>
              <w:spacing w:line="360" w:lineRule="exact"/>
              <w:jc w:val="both"/>
              <w:rPr>
                <w:rFonts w:ascii="Times New Roman" w:eastAsia="Times New Roman" w:hAnsi="Times New Roman" w:cs="Times New Roman"/>
                <w:b/>
                <w:sz w:val="28"/>
                <w:szCs w:val="28"/>
              </w:rPr>
            </w:pPr>
          </w:p>
        </w:tc>
      </w:tr>
    </w:tbl>
    <w:p w14:paraId="683EA13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45BAAABE" w14:textId="77777777" w:rsidR="00783388" w:rsidRPr="006545AD" w:rsidRDefault="00783388" w:rsidP="00783388">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Trạm quan trắc không khí tự động;</w:t>
      </w:r>
    </w:p>
    <w:p w14:paraId="253521FA" w14:textId="77777777" w:rsidR="00783388" w:rsidRPr="006545AD" w:rsidRDefault="00783388" w:rsidP="00783388">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Các thông số quan trắc (TSP, PM10, PM2,5, CO, SO2, NO2, O3, Pb);</w:t>
      </w:r>
    </w:p>
    <w:p w14:paraId="02653D54" w14:textId="77777777" w:rsidR="00783388" w:rsidRPr="006545AD" w:rsidRDefault="00783388" w:rsidP="0078338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en-US"/>
        </w:rPr>
        <w:t>- Tỉnh, thành phố trực thuộc</w:t>
      </w:r>
      <w:r w:rsidR="00574BDA" w:rsidRPr="006545AD">
        <w:rPr>
          <w:rFonts w:ascii="Times New Roman" w:eastAsia="Times New Roman" w:hAnsi="Times New Roman" w:cs="Times New Roman"/>
          <w:sz w:val="28"/>
          <w:szCs w:val="28"/>
          <w:lang w:val="en-US"/>
        </w:rPr>
        <w:t xml:space="preserve"> Trung ương</w:t>
      </w:r>
      <w:r w:rsidRPr="006545AD">
        <w:rPr>
          <w:rFonts w:ascii="Times New Roman" w:eastAsia="Times New Roman" w:hAnsi="Times New Roman" w:cs="Times New Roman"/>
          <w:sz w:val="28"/>
          <w:szCs w:val="28"/>
          <w:lang w:val="en-US"/>
        </w:rPr>
        <w:t>.</w:t>
      </w:r>
    </w:p>
    <w:p w14:paraId="00EE7A43"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3. Kỳ công bố:</w:t>
      </w:r>
      <w:r w:rsidR="00783388" w:rsidRPr="006545AD">
        <w:rPr>
          <w:rFonts w:ascii="Times New Roman" w:eastAsia="Times New Roman" w:hAnsi="Times New Roman" w:cs="Times New Roman"/>
          <w:b/>
          <w:sz w:val="28"/>
          <w:szCs w:val="28"/>
        </w:rPr>
        <w:t xml:space="preserve"> </w:t>
      </w:r>
      <w:r w:rsidR="00783388" w:rsidRPr="006545AD">
        <w:rPr>
          <w:rFonts w:ascii="Times New Roman" w:eastAsia="Times New Roman" w:hAnsi="Times New Roman" w:cs="Times New Roman"/>
          <w:sz w:val="28"/>
          <w:szCs w:val="28"/>
        </w:rPr>
        <w:t>Năm</w:t>
      </w:r>
    </w:p>
    <w:p w14:paraId="57D51F67"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262292B2" w14:textId="77777777" w:rsidR="00783388" w:rsidRPr="006545AD" w:rsidRDefault="00783388" w:rsidP="00783388">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Chế độ báo cáo thống kê ngành tài nguyên và môi trường;</w:t>
      </w:r>
    </w:p>
    <w:p w14:paraId="17628D0F" w14:textId="77777777" w:rsidR="00783388" w:rsidRPr="006545AD" w:rsidRDefault="00783388" w:rsidP="0078338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en-US"/>
        </w:rPr>
        <w:t>- Dữ liệu quan trắc tại các trạm quan trắc của các Bộ, ngành và địa phương</w:t>
      </w:r>
    </w:p>
    <w:p w14:paraId="3ACA3C7C" w14:textId="4F4A17FF" w:rsidR="00F408D5" w:rsidRPr="009E1776" w:rsidRDefault="006E7C70" w:rsidP="00923EF8">
      <w:pPr>
        <w:spacing w:before="60" w:after="60" w:line="360" w:lineRule="exact"/>
        <w:ind w:firstLine="720"/>
        <w:jc w:val="both"/>
        <w:rPr>
          <w:rFonts w:ascii="Times New Roman" w:eastAsia="Times New Roman" w:hAnsi="Times New Roman" w:cs="Times New Roman"/>
          <w:b/>
          <w:spacing w:val="-10"/>
          <w:sz w:val="28"/>
          <w:szCs w:val="28"/>
        </w:rPr>
      </w:pPr>
      <w:r w:rsidRPr="009E1776">
        <w:rPr>
          <w:rFonts w:ascii="Times New Roman" w:eastAsia="Times New Roman" w:hAnsi="Times New Roman" w:cs="Times New Roman"/>
          <w:b/>
          <w:spacing w:val="-10"/>
          <w:sz w:val="28"/>
          <w:szCs w:val="28"/>
        </w:rPr>
        <w:t>5. Cơ quan chịu trách nhiệm thu thập, tổng hợp:</w:t>
      </w:r>
      <w:r w:rsidR="00783388" w:rsidRPr="009E1776">
        <w:rPr>
          <w:rFonts w:ascii="Times New Roman" w:eastAsia="Times New Roman" w:hAnsi="Times New Roman" w:cs="Times New Roman"/>
          <w:b/>
          <w:spacing w:val="-10"/>
          <w:sz w:val="28"/>
          <w:szCs w:val="28"/>
        </w:rPr>
        <w:t xml:space="preserve"> </w:t>
      </w:r>
      <w:r w:rsidR="00783388" w:rsidRPr="009E1776">
        <w:rPr>
          <w:rFonts w:ascii="Times New Roman" w:eastAsia="Times New Roman" w:hAnsi="Times New Roman" w:cs="Times New Roman"/>
          <w:spacing w:val="-10"/>
          <w:sz w:val="28"/>
          <w:szCs w:val="28"/>
        </w:rPr>
        <w:t xml:space="preserve">Bộ </w:t>
      </w:r>
      <w:r w:rsidR="00574BDA" w:rsidRPr="009E1776">
        <w:rPr>
          <w:rFonts w:ascii="Times New Roman" w:eastAsia="Times New Roman" w:hAnsi="Times New Roman" w:cs="Times New Roman"/>
          <w:spacing w:val="-10"/>
          <w:sz w:val="28"/>
          <w:szCs w:val="28"/>
        </w:rPr>
        <w:t>Tài nguyên</w:t>
      </w:r>
      <w:r w:rsidR="000B3ABE" w:rsidRPr="009E1776">
        <w:rPr>
          <w:rFonts w:ascii="Times New Roman" w:eastAsia="Times New Roman" w:hAnsi="Times New Roman" w:cs="Times New Roman"/>
          <w:spacing w:val="-10"/>
          <w:sz w:val="28"/>
          <w:szCs w:val="28"/>
        </w:rPr>
        <w:t xml:space="preserve"> và</w:t>
      </w:r>
      <w:r w:rsidR="00574BDA" w:rsidRPr="009E1776">
        <w:rPr>
          <w:rFonts w:ascii="Times New Roman" w:eastAsia="Times New Roman" w:hAnsi="Times New Roman" w:cs="Times New Roman"/>
          <w:spacing w:val="-10"/>
          <w:sz w:val="28"/>
          <w:szCs w:val="28"/>
        </w:rPr>
        <w:t xml:space="preserve"> Môi trường</w:t>
      </w:r>
      <w:r w:rsidR="00783388" w:rsidRPr="009E1776">
        <w:rPr>
          <w:rFonts w:ascii="Times New Roman" w:eastAsia="Times New Roman" w:hAnsi="Times New Roman" w:cs="Times New Roman"/>
          <w:spacing w:val="-10"/>
          <w:sz w:val="28"/>
          <w:szCs w:val="28"/>
        </w:rPr>
        <w:t>.</w:t>
      </w:r>
    </w:p>
    <w:p w14:paraId="7B7F382F" w14:textId="77777777" w:rsidR="00F408D5" w:rsidRPr="006545AD" w:rsidRDefault="005B04E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ab/>
      </w:r>
      <w:r w:rsidR="006E7C70" w:rsidRPr="006545AD">
        <w:rPr>
          <w:rFonts w:ascii="Times New Roman" w:eastAsia="Times New Roman" w:hAnsi="Times New Roman" w:cs="Times New Roman"/>
          <w:b/>
          <w:sz w:val="28"/>
          <w:szCs w:val="28"/>
        </w:rPr>
        <w:t>4.2. Tỷ lệ dân số đô thị được cung cấp nước sạch qua hệ thống cấp nước tập trung</w:t>
      </w:r>
    </w:p>
    <w:p w14:paraId="5A9B6CCB" w14:textId="77777777" w:rsidR="00F408D5" w:rsidRPr="006545AD" w:rsidRDefault="005B04E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17A97C3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dân số đô thị được cung cấp nước sạch qua hệ thống cấp nước tập trung là tỷ lệ phần trăm giữa dân số sống ở khu vực đô thị được cung cấp nước sạch qua hệ thống cấp nước tập trung so với tổng số dân sống ở khu vực đô thị.</w:t>
      </w:r>
    </w:p>
    <w:p w14:paraId="19259A95" w14:textId="77777777" w:rsidR="00DC142B" w:rsidRPr="006545AD" w:rsidRDefault="00DC142B" w:rsidP="00DC142B">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Nước sạch là nước được sản xuất từ các nhà máy xử lý nước, cung cấp cho người dân đạt quy chuẩn kỹ thuật quốc gia về chất lượng nước sử dụng cho mục đích sinh hoạt.</w:t>
      </w:r>
    </w:p>
    <w:p w14:paraId="66D627E4" w14:textId="588D679F" w:rsidR="00DE3597" w:rsidRPr="006545AD" w:rsidRDefault="00DC142B"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Dân số đô thị là dân số sống ở các đô thị từ loại 5 đến loại đặc biệt.</w:t>
      </w:r>
    </w:p>
    <w:p w14:paraId="5C0E327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12"/>
        <w:tblW w:w="8931" w:type="dxa"/>
        <w:jc w:val="center"/>
        <w:tblBorders>
          <w:top w:val="nil"/>
          <w:left w:val="nil"/>
          <w:bottom w:val="nil"/>
          <w:right w:val="nil"/>
          <w:insideH w:val="nil"/>
          <w:insideV w:val="nil"/>
        </w:tblBorders>
        <w:tblLayout w:type="fixed"/>
        <w:tblLook w:val="0600" w:firstRow="0" w:lastRow="0" w:firstColumn="0" w:lastColumn="0" w:noHBand="1" w:noVBand="1"/>
      </w:tblPr>
      <w:tblGrid>
        <w:gridCol w:w="3261"/>
        <w:gridCol w:w="425"/>
        <w:gridCol w:w="4394"/>
        <w:gridCol w:w="851"/>
      </w:tblGrid>
      <w:tr w:rsidR="00F408D5" w:rsidRPr="006545AD" w14:paraId="32013251" w14:textId="77777777" w:rsidTr="005725BC">
        <w:trPr>
          <w:trHeight w:val="827"/>
          <w:jc w:val="center"/>
        </w:trPr>
        <w:tc>
          <w:tcPr>
            <w:tcW w:w="3261" w:type="dxa"/>
            <w:vMerge w:val="restart"/>
            <w:tcBorders>
              <w:top w:val="nil"/>
              <w:left w:val="nil"/>
              <w:bottom w:val="nil"/>
              <w:right w:val="nil"/>
            </w:tcBorders>
            <w:tcMar>
              <w:top w:w="100" w:type="dxa"/>
              <w:left w:w="20" w:type="dxa"/>
              <w:bottom w:w="100" w:type="dxa"/>
              <w:right w:w="20" w:type="dxa"/>
            </w:tcMar>
            <w:vAlign w:val="center"/>
          </w:tcPr>
          <w:p w14:paraId="27B34185" w14:textId="77777777" w:rsidR="00F408D5" w:rsidRPr="006545AD" w:rsidRDefault="006E7C70"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dân số đô thị được cung cấp nước sạch qua hệ thống cấp nước tập trung (%)</w:t>
            </w:r>
          </w:p>
        </w:tc>
        <w:tc>
          <w:tcPr>
            <w:tcW w:w="425" w:type="dxa"/>
            <w:vMerge w:val="restart"/>
            <w:tcBorders>
              <w:top w:val="nil"/>
              <w:left w:val="nil"/>
              <w:bottom w:val="nil"/>
              <w:right w:val="nil"/>
            </w:tcBorders>
            <w:tcMar>
              <w:top w:w="100" w:type="dxa"/>
              <w:left w:w="20" w:type="dxa"/>
              <w:bottom w:w="100" w:type="dxa"/>
              <w:right w:w="20" w:type="dxa"/>
            </w:tcMar>
            <w:vAlign w:val="center"/>
          </w:tcPr>
          <w:p w14:paraId="555DE197" w14:textId="77777777" w:rsidR="00F408D5" w:rsidRPr="006545AD" w:rsidRDefault="006E7C70"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394" w:type="dxa"/>
            <w:tcBorders>
              <w:top w:val="nil"/>
              <w:left w:val="nil"/>
              <w:bottom w:val="single" w:sz="8" w:space="0" w:color="000000"/>
              <w:right w:val="nil"/>
            </w:tcBorders>
            <w:tcMar>
              <w:top w:w="100" w:type="dxa"/>
              <w:left w:w="20" w:type="dxa"/>
              <w:bottom w:w="100" w:type="dxa"/>
              <w:right w:w="20" w:type="dxa"/>
            </w:tcMar>
            <w:vAlign w:val="center"/>
          </w:tcPr>
          <w:p w14:paraId="0DA4439D" w14:textId="77777777" w:rsidR="00F408D5" w:rsidRPr="006545AD" w:rsidRDefault="006E7C70"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Dân số đô thị được cung cấp nước sạch qua hệ thống cấp nước tập trung</w:t>
            </w:r>
          </w:p>
        </w:tc>
        <w:tc>
          <w:tcPr>
            <w:tcW w:w="851" w:type="dxa"/>
            <w:vMerge w:val="restart"/>
            <w:tcBorders>
              <w:top w:val="nil"/>
              <w:left w:val="nil"/>
              <w:bottom w:val="nil"/>
              <w:right w:val="nil"/>
            </w:tcBorders>
            <w:tcMar>
              <w:top w:w="100" w:type="dxa"/>
              <w:left w:w="20" w:type="dxa"/>
              <w:bottom w:w="100" w:type="dxa"/>
              <w:right w:w="20" w:type="dxa"/>
            </w:tcMar>
            <w:vAlign w:val="center"/>
          </w:tcPr>
          <w:p w14:paraId="4E6C763F" w14:textId="43CD16CD" w:rsidR="00F408D5" w:rsidRPr="006545AD" w:rsidRDefault="00024D71"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vi-VN"/>
              </w:rPr>
              <w:t>x</w:t>
            </w:r>
            <w:r w:rsidR="006E7C70" w:rsidRPr="006545AD">
              <w:rPr>
                <w:rFonts w:ascii="Times New Roman" w:eastAsia="Times New Roman" w:hAnsi="Times New Roman" w:cs="Times New Roman"/>
                <w:sz w:val="28"/>
                <w:szCs w:val="28"/>
              </w:rPr>
              <w:t xml:space="preserve"> 100</w:t>
            </w:r>
          </w:p>
        </w:tc>
      </w:tr>
      <w:tr w:rsidR="00F408D5" w:rsidRPr="006545AD" w14:paraId="0C2B1F1E" w14:textId="77777777" w:rsidTr="005725BC">
        <w:trPr>
          <w:trHeight w:val="740"/>
          <w:jc w:val="center"/>
        </w:trPr>
        <w:tc>
          <w:tcPr>
            <w:tcW w:w="3261" w:type="dxa"/>
            <w:vMerge/>
            <w:tcBorders>
              <w:bottom w:val="nil"/>
              <w:right w:val="nil"/>
            </w:tcBorders>
            <w:shd w:val="clear" w:color="auto" w:fill="auto"/>
            <w:tcMar>
              <w:top w:w="100" w:type="dxa"/>
              <w:left w:w="100" w:type="dxa"/>
              <w:bottom w:w="100" w:type="dxa"/>
              <w:right w:w="100" w:type="dxa"/>
            </w:tcMar>
            <w:vAlign w:val="center"/>
          </w:tcPr>
          <w:p w14:paraId="72F428B0" w14:textId="77777777" w:rsidR="00F408D5" w:rsidRPr="006545AD" w:rsidRDefault="00F408D5" w:rsidP="005725BC">
            <w:pPr>
              <w:spacing w:line="360" w:lineRule="exact"/>
              <w:jc w:val="both"/>
              <w:rPr>
                <w:rFonts w:ascii="Times New Roman" w:eastAsia="Times New Roman" w:hAnsi="Times New Roman" w:cs="Times New Roman"/>
                <w:sz w:val="28"/>
                <w:szCs w:val="28"/>
              </w:rPr>
            </w:pPr>
          </w:p>
        </w:tc>
        <w:tc>
          <w:tcPr>
            <w:tcW w:w="425" w:type="dxa"/>
            <w:vMerge/>
            <w:tcBorders>
              <w:bottom w:val="nil"/>
              <w:right w:val="nil"/>
            </w:tcBorders>
            <w:shd w:val="clear" w:color="auto" w:fill="auto"/>
            <w:tcMar>
              <w:top w:w="100" w:type="dxa"/>
              <w:left w:w="100" w:type="dxa"/>
              <w:bottom w:w="100" w:type="dxa"/>
              <w:right w:w="100" w:type="dxa"/>
            </w:tcMar>
            <w:vAlign w:val="center"/>
          </w:tcPr>
          <w:p w14:paraId="1BC9CAEC" w14:textId="77777777" w:rsidR="00F408D5" w:rsidRPr="006545AD" w:rsidRDefault="00F408D5" w:rsidP="005725BC">
            <w:pPr>
              <w:spacing w:line="360" w:lineRule="exact"/>
              <w:jc w:val="both"/>
              <w:rPr>
                <w:rFonts w:ascii="Times New Roman" w:eastAsia="Times New Roman" w:hAnsi="Times New Roman" w:cs="Times New Roman"/>
                <w:sz w:val="28"/>
                <w:szCs w:val="28"/>
              </w:rPr>
            </w:pPr>
          </w:p>
        </w:tc>
        <w:tc>
          <w:tcPr>
            <w:tcW w:w="4394" w:type="dxa"/>
            <w:tcBorders>
              <w:top w:val="nil"/>
              <w:left w:val="nil"/>
              <w:bottom w:val="nil"/>
              <w:right w:val="nil"/>
            </w:tcBorders>
            <w:shd w:val="clear" w:color="auto" w:fill="auto"/>
            <w:tcMar>
              <w:top w:w="100" w:type="dxa"/>
              <w:left w:w="20" w:type="dxa"/>
              <w:bottom w:w="100" w:type="dxa"/>
              <w:right w:w="20" w:type="dxa"/>
            </w:tcMar>
            <w:vAlign w:val="center"/>
          </w:tcPr>
          <w:p w14:paraId="277A7144" w14:textId="77777777" w:rsidR="00F408D5" w:rsidRPr="006545AD" w:rsidRDefault="006E7C70" w:rsidP="005725BC">
            <w:pPr>
              <w:spacing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dân số đô thị</w:t>
            </w:r>
          </w:p>
        </w:tc>
        <w:tc>
          <w:tcPr>
            <w:tcW w:w="851" w:type="dxa"/>
            <w:vMerge/>
            <w:tcBorders>
              <w:bottom w:val="nil"/>
              <w:right w:val="nil"/>
            </w:tcBorders>
            <w:shd w:val="clear" w:color="auto" w:fill="auto"/>
            <w:tcMar>
              <w:top w:w="100" w:type="dxa"/>
              <w:left w:w="100" w:type="dxa"/>
              <w:bottom w:w="100" w:type="dxa"/>
              <w:right w:w="100" w:type="dxa"/>
            </w:tcMar>
            <w:vAlign w:val="center"/>
          </w:tcPr>
          <w:p w14:paraId="1F57F3A7" w14:textId="77777777" w:rsidR="00F408D5" w:rsidRPr="006545AD" w:rsidRDefault="00F408D5" w:rsidP="005725BC">
            <w:pPr>
              <w:spacing w:line="360" w:lineRule="exact"/>
              <w:jc w:val="both"/>
              <w:rPr>
                <w:rFonts w:ascii="Times New Roman" w:eastAsia="Times New Roman" w:hAnsi="Times New Roman" w:cs="Times New Roman"/>
                <w:sz w:val="28"/>
                <w:szCs w:val="28"/>
              </w:rPr>
            </w:pPr>
          </w:p>
        </w:tc>
      </w:tr>
    </w:tbl>
    <w:p w14:paraId="00A57A8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759845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703824B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Vùng kinh tế - xã hội.</w:t>
      </w:r>
    </w:p>
    <w:p w14:paraId="34E5CE4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Năm.</w:t>
      </w:r>
    </w:p>
    <w:p w14:paraId="6F288556"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Chế độ báo cáo thống kê cấp quốc gia.</w:t>
      </w:r>
    </w:p>
    <w:p w14:paraId="00902FE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5. Cơ quan chịu trách nhiệm thu thập, tổng hợp:</w:t>
      </w:r>
      <w:r w:rsidRPr="006545AD">
        <w:rPr>
          <w:rFonts w:ascii="Times New Roman" w:eastAsia="Times New Roman" w:hAnsi="Times New Roman" w:cs="Times New Roman"/>
          <w:sz w:val="28"/>
          <w:szCs w:val="28"/>
        </w:rPr>
        <w:t xml:space="preserve"> Bộ Xây dựng.</w:t>
      </w:r>
    </w:p>
    <w:p w14:paraId="36897320" w14:textId="77777777" w:rsidR="00F408D5" w:rsidRPr="006545AD" w:rsidRDefault="005B04E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4.3. Tỷ lệ dân số nông thôn sử dụng nước sạch đáp ứng quy chuẩn</w:t>
      </w:r>
    </w:p>
    <w:p w14:paraId="521268CB" w14:textId="77777777" w:rsidR="00F408D5" w:rsidRPr="006545AD" w:rsidRDefault="005B04E9"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274B14B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Tỷ lệ dân số nông thôn sử dụng nước sạch đáp ứng quy chuẩn là tỷ lệ phần </w:t>
      </w:r>
      <w:r w:rsidR="00730429" w:rsidRPr="006545AD">
        <w:rPr>
          <w:rFonts w:ascii="Times New Roman" w:eastAsia="Times New Roman" w:hAnsi="Times New Roman" w:cs="Times New Roman"/>
          <w:sz w:val="28"/>
          <w:szCs w:val="28"/>
        </w:rPr>
        <w:t>trăm giữa</w:t>
      </w:r>
      <w:r w:rsidRPr="006545AD">
        <w:rPr>
          <w:rFonts w:ascii="Times New Roman" w:eastAsia="Times New Roman" w:hAnsi="Times New Roman" w:cs="Times New Roman"/>
          <w:sz w:val="28"/>
          <w:szCs w:val="28"/>
        </w:rPr>
        <w:t xml:space="preserve"> dân số sống ở khu vực nông thôn sử dụng nước sạch đáp ứng quy chuẩn so với tổng dân số ở khu vực nông thôn.</w:t>
      </w:r>
    </w:p>
    <w:p w14:paraId="50C97EAC" w14:textId="77777777" w:rsidR="00DC142B" w:rsidRPr="006545AD" w:rsidRDefault="00DC142B" w:rsidP="00DC142B">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Nước sạch đáp ứng quy chuẩn là nước đáp ứng các chỉ tiêu theo quy định của Quy chuẩn kỹ thuật quốc gia về chất lượng nước sạch sử dụng cho mục đích sinh hoạt.</w:t>
      </w:r>
    </w:p>
    <w:p w14:paraId="066618E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Công thức tính:                          </w:t>
      </w:r>
      <w:r w:rsidRPr="006545AD">
        <w:rPr>
          <w:rFonts w:ascii="Times New Roman" w:eastAsia="Times New Roman" w:hAnsi="Times New Roman" w:cs="Times New Roman"/>
          <w:sz w:val="28"/>
          <w:szCs w:val="28"/>
        </w:rPr>
        <w:tab/>
      </w:r>
    </w:p>
    <w:tbl>
      <w:tblPr>
        <w:tblStyle w:val="11"/>
        <w:tblW w:w="8685" w:type="dxa"/>
        <w:jc w:val="center"/>
        <w:tblBorders>
          <w:top w:val="nil"/>
          <w:left w:val="nil"/>
          <w:bottom w:val="nil"/>
          <w:right w:val="nil"/>
          <w:insideH w:val="nil"/>
          <w:insideV w:val="nil"/>
        </w:tblBorders>
        <w:tblLayout w:type="fixed"/>
        <w:tblLook w:val="0600" w:firstRow="0" w:lastRow="0" w:firstColumn="0" w:lastColumn="0" w:noHBand="1" w:noVBand="1"/>
      </w:tblPr>
      <w:tblGrid>
        <w:gridCol w:w="2835"/>
        <w:gridCol w:w="567"/>
        <w:gridCol w:w="4395"/>
        <w:gridCol w:w="888"/>
      </w:tblGrid>
      <w:tr w:rsidR="00F408D5" w:rsidRPr="006545AD" w14:paraId="6857E814" w14:textId="77777777" w:rsidTr="005725BC">
        <w:trPr>
          <w:trHeight w:val="786"/>
          <w:jc w:val="center"/>
        </w:trPr>
        <w:tc>
          <w:tcPr>
            <w:tcW w:w="2835" w:type="dxa"/>
            <w:vMerge w:val="restart"/>
            <w:tcBorders>
              <w:top w:val="nil"/>
              <w:left w:val="nil"/>
              <w:bottom w:val="nil"/>
              <w:right w:val="nil"/>
            </w:tcBorders>
            <w:tcMar>
              <w:top w:w="100" w:type="dxa"/>
              <w:left w:w="20" w:type="dxa"/>
              <w:bottom w:w="100" w:type="dxa"/>
              <w:right w:w="20" w:type="dxa"/>
            </w:tcMar>
            <w:vAlign w:val="center"/>
          </w:tcPr>
          <w:p w14:paraId="15D54143"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dân số nông thôn sử dụng nước sạch đáp ứng quy chuẩn (%)</w:t>
            </w:r>
          </w:p>
        </w:tc>
        <w:tc>
          <w:tcPr>
            <w:tcW w:w="567" w:type="dxa"/>
            <w:vMerge w:val="restart"/>
            <w:tcBorders>
              <w:top w:val="nil"/>
              <w:left w:val="nil"/>
              <w:bottom w:val="nil"/>
              <w:right w:val="nil"/>
            </w:tcBorders>
            <w:tcMar>
              <w:top w:w="100" w:type="dxa"/>
              <w:left w:w="20" w:type="dxa"/>
              <w:bottom w:w="100" w:type="dxa"/>
              <w:right w:w="20" w:type="dxa"/>
            </w:tcMar>
            <w:vAlign w:val="center"/>
          </w:tcPr>
          <w:p w14:paraId="6A81AC36"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395" w:type="dxa"/>
            <w:tcBorders>
              <w:top w:val="nil"/>
              <w:left w:val="nil"/>
              <w:bottom w:val="single" w:sz="8" w:space="0" w:color="000000"/>
              <w:right w:val="nil"/>
            </w:tcBorders>
            <w:tcMar>
              <w:top w:w="100" w:type="dxa"/>
              <w:left w:w="20" w:type="dxa"/>
              <w:bottom w:w="100" w:type="dxa"/>
              <w:right w:w="20" w:type="dxa"/>
            </w:tcMar>
            <w:vAlign w:val="center"/>
          </w:tcPr>
          <w:p w14:paraId="0BB884FD"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Dân số nông thôn sử dụng nước sạch</w:t>
            </w:r>
          </w:p>
          <w:p w14:paraId="40D28A91"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đáp ứng quy chuẩn</w:t>
            </w:r>
          </w:p>
        </w:tc>
        <w:tc>
          <w:tcPr>
            <w:tcW w:w="888" w:type="dxa"/>
            <w:vMerge w:val="restart"/>
            <w:tcBorders>
              <w:top w:val="nil"/>
              <w:left w:val="nil"/>
              <w:bottom w:val="nil"/>
              <w:right w:val="nil"/>
            </w:tcBorders>
            <w:tcMar>
              <w:top w:w="100" w:type="dxa"/>
              <w:left w:w="20" w:type="dxa"/>
              <w:bottom w:w="100" w:type="dxa"/>
              <w:right w:w="20" w:type="dxa"/>
            </w:tcMar>
            <w:vAlign w:val="center"/>
          </w:tcPr>
          <w:p w14:paraId="6554268D" w14:textId="2DF0A0B9"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00714CB6" w:rsidRPr="006545AD">
              <w:rPr>
                <w:rFonts w:ascii="Times New Roman" w:eastAsia="Times New Roman" w:hAnsi="Times New Roman" w:cs="Times New Roman"/>
                <w:sz w:val="28"/>
                <w:szCs w:val="28"/>
                <w:lang w:val="vi-VN"/>
              </w:rPr>
              <w:t>x</w:t>
            </w:r>
            <w:r w:rsidRPr="006545AD">
              <w:rPr>
                <w:rFonts w:ascii="Times New Roman" w:eastAsia="Times New Roman" w:hAnsi="Times New Roman" w:cs="Times New Roman"/>
                <w:sz w:val="28"/>
                <w:szCs w:val="28"/>
              </w:rPr>
              <w:t xml:space="preserve"> 100</w:t>
            </w:r>
          </w:p>
        </w:tc>
      </w:tr>
      <w:tr w:rsidR="00F408D5" w:rsidRPr="006545AD" w14:paraId="3C890C16" w14:textId="77777777" w:rsidTr="005725BC">
        <w:trPr>
          <w:trHeight w:val="755"/>
          <w:jc w:val="center"/>
        </w:trPr>
        <w:tc>
          <w:tcPr>
            <w:tcW w:w="2835" w:type="dxa"/>
            <w:vMerge/>
            <w:tcBorders>
              <w:bottom w:val="nil"/>
              <w:right w:val="nil"/>
            </w:tcBorders>
            <w:shd w:val="clear" w:color="auto" w:fill="auto"/>
            <w:tcMar>
              <w:top w:w="100" w:type="dxa"/>
              <w:left w:w="100" w:type="dxa"/>
              <w:bottom w:w="100" w:type="dxa"/>
              <w:right w:w="100" w:type="dxa"/>
            </w:tcMar>
            <w:vAlign w:val="center"/>
          </w:tcPr>
          <w:p w14:paraId="0F6F46F2" w14:textId="77777777" w:rsidR="00F408D5" w:rsidRPr="006545AD" w:rsidRDefault="00F408D5" w:rsidP="00923EF8">
            <w:pPr>
              <w:spacing w:before="60" w:after="60" w:line="360" w:lineRule="exact"/>
              <w:jc w:val="both"/>
              <w:rPr>
                <w:rFonts w:ascii="Times New Roman" w:eastAsia="Times New Roman" w:hAnsi="Times New Roman" w:cs="Times New Roman"/>
                <w:sz w:val="28"/>
                <w:szCs w:val="28"/>
              </w:rPr>
            </w:pPr>
          </w:p>
        </w:tc>
        <w:tc>
          <w:tcPr>
            <w:tcW w:w="567" w:type="dxa"/>
            <w:vMerge/>
            <w:tcBorders>
              <w:bottom w:val="nil"/>
              <w:right w:val="nil"/>
            </w:tcBorders>
            <w:shd w:val="clear" w:color="auto" w:fill="auto"/>
            <w:tcMar>
              <w:top w:w="100" w:type="dxa"/>
              <w:left w:w="100" w:type="dxa"/>
              <w:bottom w:w="100" w:type="dxa"/>
              <w:right w:w="100" w:type="dxa"/>
            </w:tcMar>
            <w:vAlign w:val="center"/>
          </w:tcPr>
          <w:p w14:paraId="3B01792C" w14:textId="77777777" w:rsidR="00F408D5" w:rsidRPr="006545AD" w:rsidRDefault="00F408D5" w:rsidP="00923EF8">
            <w:pPr>
              <w:spacing w:before="60" w:after="60" w:line="360" w:lineRule="exact"/>
              <w:jc w:val="both"/>
              <w:rPr>
                <w:rFonts w:ascii="Times New Roman" w:eastAsia="Times New Roman" w:hAnsi="Times New Roman" w:cs="Times New Roman"/>
                <w:sz w:val="28"/>
                <w:szCs w:val="28"/>
              </w:rPr>
            </w:pPr>
          </w:p>
        </w:tc>
        <w:tc>
          <w:tcPr>
            <w:tcW w:w="4395" w:type="dxa"/>
            <w:tcBorders>
              <w:top w:val="nil"/>
              <w:left w:val="nil"/>
              <w:bottom w:val="nil"/>
              <w:right w:val="nil"/>
            </w:tcBorders>
            <w:shd w:val="clear" w:color="auto" w:fill="auto"/>
            <w:tcMar>
              <w:top w:w="100" w:type="dxa"/>
              <w:left w:w="20" w:type="dxa"/>
              <w:bottom w:w="100" w:type="dxa"/>
              <w:right w:w="20" w:type="dxa"/>
            </w:tcMar>
            <w:vAlign w:val="center"/>
          </w:tcPr>
          <w:p w14:paraId="42925CDC" w14:textId="77777777" w:rsidR="00F408D5" w:rsidRPr="006545AD" w:rsidRDefault="006E7C70" w:rsidP="00923EF8">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dân số nông thôn</w:t>
            </w:r>
          </w:p>
        </w:tc>
        <w:tc>
          <w:tcPr>
            <w:tcW w:w="888" w:type="dxa"/>
            <w:vMerge/>
            <w:tcBorders>
              <w:bottom w:val="nil"/>
              <w:right w:val="nil"/>
            </w:tcBorders>
            <w:shd w:val="clear" w:color="auto" w:fill="auto"/>
            <w:tcMar>
              <w:top w:w="100" w:type="dxa"/>
              <w:left w:w="100" w:type="dxa"/>
              <w:bottom w:w="100" w:type="dxa"/>
              <w:right w:w="100" w:type="dxa"/>
            </w:tcMar>
            <w:vAlign w:val="center"/>
          </w:tcPr>
          <w:p w14:paraId="04012F87" w14:textId="77777777" w:rsidR="00F408D5" w:rsidRPr="006545AD" w:rsidRDefault="00F408D5" w:rsidP="00923EF8">
            <w:pPr>
              <w:spacing w:before="60" w:after="60" w:line="360" w:lineRule="exact"/>
              <w:jc w:val="both"/>
              <w:rPr>
                <w:rFonts w:ascii="Times New Roman" w:eastAsia="Times New Roman" w:hAnsi="Times New Roman" w:cs="Times New Roman"/>
                <w:sz w:val="28"/>
                <w:szCs w:val="28"/>
              </w:rPr>
            </w:pPr>
          </w:p>
        </w:tc>
      </w:tr>
    </w:tbl>
    <w:p w14:paraId="7B8941E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lastRenderedPageBreak/>
        <w:t>2. Phân tổ chủ yếu</w:t>
      </w:r>
    </w:p>
    <w:p w14:paraId="5BB157F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3D876E2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Vùng kinh tế - xã hội.</w:t>
      </w:r>
    </w:p>
    <w:p w14:paraId="0F989699"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6BD61E4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Chế độ báo cáo thống kê cấp quốc gia.</w:t>
      </w:r>
    </w:p>
    <w:p w14:paraId="1055956B"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3E51DFBF" w14:textId="27DF9B42"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Nông</w:t>
      </w:r>
      <w:r w:rsidR="00783388" w:rsidRPr="006545AD">
        <w:rPr>
          <w:rFonts w:ascii="Times New Roman" w:eastAsia="Times New Roman" w:hAnsi="Times New Roman" w:cs="Times New Roman"/>
          <w:sz w:val="28"/>
          <w:szCs w:val="28"/>
        </w:rPr>
        <w:t xml:space="preserve"> nghiệp và </w:t>
      </w:r>
      <w:r w:rsidR="00714CB6" w:rsidRPr="006545AD">
        <w:rPr>
          <w:rFonts w:ascii="Times New Roman" w:eastAsia="Times New Roman" w:hAnsi="Times New Roman" w:cs="Times New Roman"/>
          <w:sz w:val="28"/>
          <w:szCs w:val="28"/>
        </w:rPr>
        <w:t xml:space="preserve">Phát </w:t>
      </w:r>
      <w:r w:rsidR="00783388" w:rsidRPr="006545AD">
        <w:rPr>
          <w:rFonts w:ascii="Times New Roman" w:eastAsia="Times New Roman" w:hAnsi="Times New Roman" w:cs="Times New Roman"/>
          <w:sz w:val="28"/>
          <w:szCs w:val="28"/>
        </w:rPr>
        <w:t>triển nông thôn;</w:t>
      </w:r>
    </w:p>
    <w:p w14:paraId="66016CDD"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Kế hoạch và Đầu tư (Tổng cục Thống kê).</w:t>
      </w:r>
    </w:p>
    <w:p w14:paraId="744A23A2" w14:textId="68A25B88"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4.</w:t>
      </w:r>
      <w:r w:rsidR="00271007" w:rsidRPr="006545AD">
        <w:rPr>
          <w:rFonts w:ascii="Times New Roman" w:eastAsia="Times New Roman" w:hAnsi="Times New Roman" w:cs="Times New Roman"/>
          <w:b/>
          <w:sz w:val="28"/>
          <w:szCs w:val="28"/>
        </w:rPr>
        <w:t>4</w:t>
      </w:r>
      <w:r w:rsidRPr="006545AD">
        <w:rPr>
          <w:rFonts w:ascii="Times New Roman" w:eastAsia="Times New Roman" w:hAnsi="Times New Roman" w:cs="Times New Roman"/>
          <w:b/>
          <w:sz w:val="28"/>
          <w:szCs w:val="28"/>
        </w:rPr>
        <w:t>. Tỷ lệ thành viên hộ gia đình có đủ nước uống trong 12 tháng qua</w:t>
      </w:r>
    </w:p>
    <w:p w14:paraId="5B4600E7"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279D82D9" w14:textId="77777777" w:rsidR="008851BE" w:rsidRPr="006545AD" w:rsidRDefault="008851BE" w:rsidP="008851BE">
      <w:pPr>
        <w:spacing w:before="60" w:after="60" w:line="360" w:lineRule="exact"/>
        <w:ind w:firstLine="85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thành viên hộ gia đình có đủ nước uống trong 12 tháng qua là tỷ lệ phần trăm thành viên hộ gia đình có sẵn nước tại nguồn nước khi cần trong 12 tháng qua.</w:t>
      </w:r>
    </w:p>
    <w:p w14:paraId="60B18C0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5A2C2EBA" w14:textId="6C0984C3" w:rsidR="00714CB6" w:rsidRPr="006545AD" w:rsidRDefault="008851BE" w:rsidP="00714CB6">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-Vùng</w:t>
      </w:r>
      <w:r w:rsidR="00714CB6" w:rsidRPr="006545AD">
        <w:rPr>
          <w:rFonts w:ascii="Times New Roman" w:eastAsia="Times New Roman" w:hAnsi="Times New Roman" w:cs="Times New Roman"/>
          <w:sz w:val="28"/>
          <w:szCs w:val="28"/>
        </w:rPr>
        <w:t xml:space="preserve"> kinh tế - xã hội.</w:t>
      </w:r>
    </w:p>
    <w:p w14:paraId="314EA4B1" w14:textId="0352A26A"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00714CB6" w:rsidRPr="006545AD">
        <w:rPr>
          <w:rFonts w:ascii="Times New Roman" w:eastAsia="Times New Roman" w:hAnsi="Times New Roman" w:cs="Times New Roman"/>
          <w:sz w:val="28"/>
          <w:szCs w:val="28"/>
          <w:lang w:val="vi-VN"/>
        </w:rPr>
        <w:t xml:space="preserve"> </w:t>
      </w:r>
      <w:r w:rsidRPr="006545AD">
        <w:rPr>
          <w:rFonts w:ascii="Times New Roman" w:eastAsia="Times New Roman" w:hAnsi="Times New Roman" w:cs="Times New Roman"/>
          <w:sz w:val="28"/>
          <w:szCs w:val="28"/>
        </w:rPr>
        <w:t>5 năm</w:t>
      </w:r>
    </w:p>
    <w:p w14:paraId="3110F9C3"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734A710C" w14:textId="77777777" w:rsidR="008851BE" w:rsidRPr="006545AD" w:rsidRDefault="008851BE" w:rsidP="008851BE">
      <w:pPr>
        <w:pBdr>
          <w:top w:val="nil"/>
          <w:left w:val="nil"/>
          <w:bottom w:val="nil"/>
          <w:right w:val="nil"/>
          <w:between w:val="nil"/>
        </w:pBd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MICS, Khảo sát mức sống dân cư.</w:t>
      </w:r>
    </w:p>
    <w:p w14:paraId="09DFD6F1"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pacing w:val="-4"/>
          <w:sz w:val="28"/>
          <w:szCs w:val="28"/>
        </w:rPr>
      </w:pPr>
      <w:r w:rsidRPr="006545AD">
        <w:rPr>
          <w:rFonts w:ascii="Times New Roman" w:eastAsia="Times New Roman" w:hAnsi="Times New Roman" w:cs="Times New Roman"/>
          <w:b/>
          <w:spacing w:val="-4"/>
          <w:sz w:val="28"/>
          <w:szCs w:val="28"/>
        </w:rPr>
        <w:t xml:space="preserve">5. Cơ quan chịu trách nhiệm thu thập, tổng hợp: </w:t>
      </w:r>
      <w:r w:rsidRPr="006545AD">
        <w:rPr>
          <w:rFonts w:ascii="Times New Roman" w:eastAsia="Times New Roman" w:hAnsi="Times New Roman" w:cs="Times New Roman"/>
          <w:spacing w:val="-4"/>
          <w:sz w:val="28"/>
          <w:szCs w:val="28"/>
        </w:rPr>
        <w:t>Bộ Kế hoạch và Đầu tư (Tổng cục Thống kê).</w:t>
      </w:r>
    </w:p>
    <w:p w14:paraId="6B459F82" w14:textId="3A3A397F" w:rsidR="008851BE" w:rsidRPr="006545AD" w:rsidRDefault="00271007"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4.5</w:t>
      </w:r>
      <w:r w:rsidR="008851BE" w:rsidRPr="006545AD">
        <w:rPr>
          <w:rFonts w:ascii="Times New Roman" w:eastAsia="Times New Roman" w:hAnsi="Times New Roman" w:cs="Times New Roman"/>
          <w:b/>
          <w:sz w:val="28"/>
          <w:szCs w:val="28"/>
        </w:rPr>
        <w:t>. Tỷ lệ dân số sử dụng hố xí hợp vệ sinh</w:t>
      </w:r>
    </w:p>
    <w:p w14:paraId="690534C3"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07C60478"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dân số sử dụng hố xí hợp vệ sinh là tỷ lệ phần trăm giữa dân số sử dụng hố xí hợp vệ sinh so với tổng dân số.</w:t>
      </w:r>
    </w:p>
    <w:p w14:paraId="52A62B16"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 Hố xí hợp vệ sinh bao gồm:</w:t>
      </w:r>
    </w:p>
    <w:p w14:paraId="4BCFCD5F"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Hố xí tự hoại, thấm dội nước;</w:t>
      </w:r>
    </w:p>
    <w:p w14:paraId="7E06A24E"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Hố xí đào (cải tiến có ống thông hơi; có bệ ngồi);</w:t>
      </w:r>
    </w:p>
    <w:p w14:paraId="528D32F3" w14:textId="6F8DDB16"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Hố xí ủ phân trộn.</w:t>
      </w:r>
    </w:p>
    <w:tbl>
      <w:tblPr>
        <w:tblStyle w:val="5"/>
        <w:tblW w:w="8364" w:type="dxa"/>
        <w:jc w:val="center"/>
        <w:tblBorders>
          <w:top w:val="nil"/>
          <w:left w:val="nil"/>
          <w:bottom w:val="nil"/>
          <w:right w:val="nil"/>
          <w:insideH w:val="nil"/>
          <w:insideV w:val="nil"/>
        </w:tblBorders>
        <w:tblLayout w:type="fixed"/>
        <w:tblLook w:val="0600" w:firstRow="0" w:lastRow="0" w:firstColumn="0" w:lastColumn="0" w:noHBand="1" w:noVBand="1"/>
      </w:tblPr>
      <w:tblGrid>
        <w:gridCol w:w="2410"/>
        <w:gridCol w:w="709"/>
        <w:gridCol w:w="4111"/>
        <w:gridCol w:w="1134"/>
      </w:tblGrid>
      <w:tr w:rsidR="008851BE" w:rsidRPr="006545AD" w14:paraId="3D84031A" w14:textId="77777777" w:rsidTr="005725BC">
        <w:trPr>
          <w:trHeight w:val="583"/>
          <w:jc w:val="center"/>
        </w:trPr>
        <w:tc>
          <w:tcPr>
            <w:tcW w:w="2410" w:type="dxa"/>
            <w:vMerge w:val="restart"/>
            <w:tcBorders>
              <w:top w:val="nil"/>
              <w:left w:val="nil"/>
              <w:bottom w:val="nil"/>
              <w:right w:val="nil"/>
            </w:tcBorders>
            <w:tcMar>
              <w:top w:w="100" w:type="dxa"/>
              <w:left w:w="20" w:type="dxa"/>
              <w:bottom w:w="100" w:type="dxa"/>
              <w:right w:w="20" w:type="dxa"/>
            </w:tcMar>
            <w:vAlign w:val="center"/>
          </w:tcPr>
          <w:p w14:paraId="0DE87B88"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dân số</w:t>
            </w:r>
          </w:p>
          <w:p w14:paraId="2AD7CF6C"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sử dụng hố xí</w:t>
            </w:r>
          </w:p>
          <w:p w14:paraId="343D32DC"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hợp vệ sinh (%)</w:t>
            </w:r>
          </w:p>
        </w:tc>
        <w:tc>
          <w:tcPr>
            <w:tcW w:w="709" w:type="dxa"/>
            <w:vMerge w:val="restart"/>
            <w:tcBorders>
              <w:top w:val="nil"/>
              <w:left w:val="nil"/>
              <w:bottom w:val="nil"/>
              <w:right w:val="nil"/>
            </w:tcBorders>
            <w:tcMar>
              <w:top w:w="100" w:type="dxa"/>
              <w:left w:w="20" w:type="dxa"/>
              <w:bottom w:w="100" w:type="dxa"/>
              <w:right w:w="20" w:type="dxa"/>
            </w:tcMar>
            <w:vAlign w:val="center"/>
          </w:tcPr>
          <w:p w14:paraId="449ADE3E"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4111" w:type="dxa"/>
            <w:tcBorders>
              <w:top w:val="nil"/>
              <w:left w:val="nil"/>
              <w:bottom w:val="single" w:sz="8" w:space="0" w:color="000000"/>
              <w:right w:val="nil"/>
            </w:tcBorders>
            <w:tcMar>
              <w:top w:w="100" w:type="dxa"/>
              <w:left w:w="20" w:type="dxa"/>
              <w:bottom w:w="100" w:type="dxa"/>
              <w:right w:w="20" w:type="dxa"/>
            </w:tcMar>
            <w:vAlign w:val="center"/>
          </w:tcPr>
          <w:p w14:paraId="044CB709"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Dân số sử dụng hố xí hợp vệ sinh</w:t>
            </w:r>
          </w:p>
        </w:tc>
        <w:tc>
          <w:tcPr>
            <w:tcW w:w="1134" w:type="dxa"/>
            <w:vMerge w:val="restart"/>
            <w:tcBorders>
              <w:top w:val="nil"/>
              <w:left w:val="nil"/>
              <w:bottom w:val="nil"/>
              <w:right w:val="nil"/>
            </w:tcBorders>
            <w:tcMar>
              <w:top w:w="100" w:type="dxa"/>
              <w:left w:w="20" w:type="dxa"/>
              <w:bottom w:w="100" w:type="dxa"/>
              <w:right w:w="20" w:type="dxa"/>
            </w:tcMar>
            <w:vAlign w:val="center"/>
          </w:tcPr>
          <w:p w14:paraId="10F2611B" w14:textId="142D81BF"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r w:rsidR="002A731A" w:rsidRPr="006545AD">
              <w:rPr>
                <w:rFonts w:ascii="Times New Roman" w:eastAsia="Times New Roman" w:hAnsi="Times New Roman" w:cs="Times New Roman"/>
                <w:sz w:val="28"/>
                <w:szCs w:val="28"/>
                <w:lang w:val="vi-VN"/>
              </w:rPr>
              <w:t>x</w:t>
            </w:r>
            <w:r w:rsidRPr="006545AD">
              <w:rPr>
                <w:rFonts w:ascii="Times New Roman" w:eastAsia="Times New Roman" w:hAnsi="Times New Roman" w:cs="Times New Roman"/>
                <w:sz w:val="28"/>
                <w:szCs w:val="28"/>
              </w:rPr>
              <w:t xml:space="preserve"> 100</w:t>
            </w:r>
          </w:p>
        </w:tc>
      </w:tr>
      <w:tr w:rsidR="008851BE" w:rsidRPr="006545AD" w14:paraId="7CCCC8F1" w14:textId="77777777" w:rsidTr="005725BC">
        <w:trPr>
          <w:trHeight w:val="470"/>
          <w:jc w:val="center"/>
        </w:trPr>
        <w:tc>
          <w:tcPr>
            <w:tcW w:w="2410" w:type="dxa"/>
            <w:vMerge/>
            <w:tcBorders>
              <w:bottom w:val="nil"/>
              <w:right w:val="nil"/>
            </w:tcBorders>
            <w:shd w:val="clear" w:color="auto" w:fill="auto"/>
            <w:tcMar>
              <w:top w:w="100" w:type="dxa"/>
              <w:left w:w="100" w:type="dxa"/>
              <w:bottom w:w="100" w:type="dxa"/>
              <w:right w:w="100" w:type="dxa"/>
            </w:tcMar>
            <w:vAlign w:val="center"/>
          </w:tcPr>
          <w:p w14:paraId="0C77E26D"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rPr>
            </w:pPr>
          </w:p>
        </w:tc>
        <w:tc>
          <w:tcPr>
            <w:tcW w:w="709" w:type="dxa"/>
            <w:vMerge/>
            <w:tcBorders>
              <w:bottom w:val="nil"/>
              <w:right w:val="nil"/>
            </w:tcBorders>
            <w:shd w:val="clear" w:color="auto" w:fill="auto"/>
            <w:tcMar>
              <w:top w:w="100" w:type="dxa"/>
              <w:left w:w="100" w:type="dxa"/>
              <w:bottom w:w="100" w:type="dxa"/>
              <w:right w:w="100" w:type="dxa"/>
            </w:tcMar>
            <w:vAlign w:val="center"/>
          </w:tcPr>
          <w:p w14:paraId="6E362B3D"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rPr>
            </w:pPr>
          </w:p>
        </w:tc>
        <w:tc>
          <w:tcPr>
            <w:tcW w:w="4111" w:type="dxa"/>
            <w:tcBorders>
              <w:top w:val="nil"/>
              <w:left w:val="nil"/>
              <w:bottom w:val="nil"/>
              <w:right w:val="nil"/>
            </w:tcBorders>
            <w:shd w:val="clear" w:color="auto" w:fill="auto"/>
            <w:tcMar>
              <w:top w:w="100" w:type="dxa"/>
              <w:left w:w="20" w:type="dxa"/>
              <w:bottom w:w="100" w:type="dxa"/>
              <w:right w:w="20" w:type="dxa"/>
            </w:tcMar>
            <w:vAlign w:val="center"/>
          </w:tcPr>
          <w:p w14:paraId="2F25B37B"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dân số</w:t>
            </w:r>
          </w:p>
        </w:tc>
        <w:tc>
          <w:tcPr>
            <w:tcW w:w="1134" w:type="dxa"/>
            <w:vMerge/>
            <w:tcBorders>
              <w:bottom w:val="nil"/>
              <w:right w:val="nil"/>
            </w:tcBorders>
            <w:shd w:val="clear" w:color="auto" w:fill="auto"/>
            <w:tcMar>
              <w:top w:w="100" w:type="dxa"/>
              <w:left w:w="100" w:type="dxa"/>
              <w:bottom w:w="100" w:type="dxa"/>
              <w:right w:w="100" w:type="dxa"/>
            </w:tcMar>
            <w:vAlign w:val="center"/>
          </w:tcPr>
          <w:p w14:paraId="546333F3"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rPr>
            </w:pPr>
          </w:p>
        </w:tc>
      </w:tr>
    </w:tbl>
    <w:p w14:paraId="5745B35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27FD2EAD"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Thành thị/nông thôn;</w:t>
      </w:r>
    </w:p>
    <w:p w14:paraId="36F46D2D"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5A0D3861"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 Vùng kinh tế - xã hội.</w:t>
      </w:r>
    </w:p>
    <w:p w14:paraId="4838C3B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Năm.</w:t>
      </w:r>
    </w:p>
    <w:p w14:paraId="44B85111"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Khảo sát mức sống dân cư Việt Nam.</w:t>
      </w:r>
    </w:p>
    <w:p w14:paraId="6E0AC500"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 xml:space="preserve">5. Cơ quan chịu trách nhiệm thu thập, tổng hợp: </w:t>
      </w:r>
      <w:r w:rsidRPr="006545AD">
        <w:rPr>
          <w:rFonts w:ascii="Times New Roman" w:eastAsia="Times New Roman" w:hAnsi="Times New Roman" w:cs="Times New Roman"/>
          <w:spacing w:val="-4"/>
          <w:sz w:val="28"/>
          <w:szCs w:val="28"/>
        </w:rPr>
        <w:t>Bộ Kế hoạch và Đầu tư (Tổng cục Thống kê).</w:t>
      </w:r>
    </w:p>
    <w:p w14:paraId="09F09EE3" w14:textId="0CE393E4"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271007" w:rsidRPr="006545AD">
        <w:rPr>
          <w:rFonts w:ascii="Times New Roman" w:eastAsia="Times New Roman" w:hAnsi="Times New Roman" w:cs="Times New Roman"/>
          <w:b/>
          <w:sz w:val="28"/>
          <w:szCs w:val="28"/>
        </w:rPr>
        <w:t>4.6</w:t>
      </w:r>
      <w:r w:rsidRPr="006545AD">
        <w:rPr>
          <w:rFonts w:ascii="Times New Roman" w:eastAsia="Times New Roman" w:hAnsi="Times New Roman" w:cs="Times New Roman"/>
          <w:b/>
          <w:sz w:val="28"/>
          <w:szCs w:val="28"/>
        </w:rPr>
        <w:t>.</w:t>
      </w: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b/>
          <w:sz w:val="28"/>
          <w:szCs w:val="28"/>
        </w:rPr>
        <w:t>Tỷ lệ nghèo đa chiều</w:t>
      </w:r>
    </w:p>
    <w:p w14:paraId="6F0C1C5D"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0BBF2BE4" w14:textId="40C54B8A" w:rsidR="00DE3597" w:rsidRPr="006545AD" w:rsidRDefault="008851BE" w:rsidP="008851BE">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Tỷ lệ nghèo đa chiều là tỷ lệ phần trăm giữa số hộ nghèo đa chiều so với tổng số hộ.</w:t>
      </w:r>
    </w:p>
    <w:p w14:paraId="787B4C77"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Công thức tính:</w:t>
      </w:r>
    </w:p>
    <w:tbl>
      <w:tblPr>
        <w:tblW w:w="8505" w:type="dxa"/>
        <w:jc w:val="center"/>
        <w:tblBorders>
          <w:insideH w:val="single" w:sz="4" w:space="0" w:color="auto"/>
        </w:tblBorders>
        <w:tblCellMar>
          <w:left w:w="0" w:type="dxa"/>
          <w:right w:w="0" w:type="dxa"/>
        </w:tblCellMar>
        <w:tblLook w:val="04A0" w:firstRow="1" w:lastRow="0" w:firstColumn="1" w:lastColumn="0" w:noHBand="0" w:noVBand="1"/>
      </w:tblPr>
      <w:tblGrid>
        <w:gridCol w:w="3261"/>
        <w:gridCol w:w="708"/>
        <w:gridCol w:w="3544"/>
        <w:gridCol w:w="992"/>
      </w:tblGrid>
      <w:tr w:rsidR="008851BE" w:rsidRPr="006545AD" w14:paraId="64C914B2" w14:textId="77777777" w:rsidTr="005725BC">
        <w:trPr>
          <w:trHeight w:val="677"/>
          <w:jc w:val="center"/>
        </w:trPr>
        <w:tc>
          <w:tcPr>
            <w:tcW w:w="3261" w:type="dxa"/>
            <w:vMerge w:val="restart"/>
            <w:tcMar>
              <w:top w:w="0" w:type="dxa"/>
              <w:left w:w="108" w:type="dxa"/>
              <w:bottom w:w="0" w:type="dxa"/>
              <w:right w:w="108" w:type="dxa"/>
            </w:tcMar>
            <w:vAlign w:val="center"/>
            <w:hideMark/>
          </w:tcPr>
          <w:p w14:paraId="2D3164EC" w14:textId="77777777" w:rsidR="008851BE" w:rsidRPr="006545AD" w:rsidRDefault="008851BE"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Tỷ lệ nghèo đa chiều (%)</w:t>
            </w:r>
          </w:p>
        </w:tc>
        <w:tc>
          <w:tcPr>
            <w:tcW w:w="708" w:type="dxa"/>
            <w:vMerge w:val="restart"/>
            <w:tcMar>
              <w:top w:w="0" w:type="dxa"/>
              <w:left w:w="108" w:type="dxa"/>
              <w:bottom w:w="0" w:type="dxa"/>
              <w:right w:w="108" w:type="dxa"/>
            </w:tcMar>
            <w:vAlign w:val="center"/>
            <w:hideMark/>
          </w:tcPr>
          <w:p w14:paraId="5AF97698" w14:textId="77777777" w:rsidR="008851BE" w:rsidRPr="006545AD" w:rsidRDefault="008851BE" w:rsidP="00350DB3">
            <w:pPr>
              <w:spacing w:before="24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w:t>
            </w:r>
          </w:p>
        </w:tc>
        <w:tc>
          <w:tcPr>
            <w:tcW w:w="3544" w:type="dxa"/>
            <w:tcMar>
              <w:top w:w="0" w:type="dxa"/>
              <w:left w:w="108" w:type="dxa"/>
              <w:bottom w:w="0" w:type="dxa"/>
              <w:right w:w="108" w:type="dxa"/>
            </w:tcMar>
            <w:vAlign w:val="center"/>
            <w:hideMark/>
          </w:tcPr>
          <w:p w14:paraId="2F477C49" w14:textId="77777777" w:rsidR="008851BE" w:rsidRPr="006545AD" w:rsidRDefault="008851BE"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Số hộ nghèo đa chiều</w:t>
            </w:r>
          </w:p>
        </w:tc>
        <w:tc>
          <w:tcPr>
            <w:tcW w:w="992" w:type="dxa"/>
            <w:vMerge w:val="restart"/>
            <w:tcMar>
              <w:top w:w="0" w:type="dxa"/>
              <w:left w:w="108" w:type="dxa"/>
              <w:bottom w:w="0" w:type="dxa"/>
              <w:right w:w="108" w:type="dxa"/>
            </w:tcMar>
            <w:vAlign w:val="center"/>
            <w:hideMark/>
          </w:tcPr>
          <w:p w14:paraId="6477D8E7" w14:textId="77777777" w:rsidR="008851BE" w:rsidRPr="006545AD" w:rsidRDefault="008851BE" w:rsidP="00350DB3">
            <w:pPr>
              <w:spacing w:before="24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 100</w:t>
            </w:r>
          </w:p>
        </w:tc>
      </w:tr>
      <w:tr w:rsidR="008851BE" w:rsidRPr="006545AD" w14:paraId="603F3C7B" w14:textId="77777777" w:rsidTr="005725BC">
        <w:trPr>
          <w:jc w:val="center"/>
        </w:trPr>
        <w:tc>
          <w:tcPr>
            <w:tcW w:w="3261" w:type="dxa"/>
            <w:vMerge/>
            <w:vAlign w:val="center"/>
            <w:hideMark/>
          </w:tcPr>
          <w:p w14:paraId="112BD765" w14:textId="77777777" w:rsidR="008851BE" w:rsidRPr="006545AD" w:rsidRDefault="008851BE" w:rsidP="00350DB3">
            <w:pPr>
              <w:spacing w:before="120" w:after="120" w:line="240" w:lineRule="auto"/>
              <w:jc w:val="center"/>
              <w:rPr>
                <w:rFonts w:ascii="Times New Roman" w:hAnsi="Times New Roman" w:cs="Times New Roman"/>
                <w:sz w:val="28"/>
                <w:szCs w:val="28"/>
              </w:rPr>
            </w:pPr>
          </w:p>
        </w:tc>
        <w:tc>
          <w:tcPr>
            <w:tcW w:w="708" w:type="dxa"/>
            <w:vMerge/>
            <w:vAlign w:val="center"/>
            <w:hideMark/>
          </w:tcPr>
          <w:p w14:paraId="59F2F24A" w14:textId="77777777" w:rsidR="008851BE" w:rsidRPr="006545AD" w:rsidRDefault="008851BE" w:rsidP="00350DB3">
            <w:pPr>
              <w:spacing w:before="120" w:after="120" w:line="240" w:lineRule="auto"/>
              <w:jc w:val="center"/>
              <w:rPr>
                <w:rFonts w:ascii="Times New Roman" w:hAnsi="Times New Roman" w:cs="Times New Roman"/>
                <w:sz w:val="28"/>
                <w:szCs w:val="28"/>
              </w:rPr>
            </w:pPr>
          </w:p>
        </w:tc>
        <w:tc>
          <w:tcPr>
            <w:tcW w:w="3544" w:type="dxa"/>
            <w:tcMar>
              <w:top w:w="0" w:type="dxa"/>
              <w:left w:w="108" w:type="dxa"/>
              <w:bottom w:w="0" w:type="dxa"/>
              <w:right w:w="108" w:type="dxa"/>
            </w:tcMar>
            <w:vAlign w:val="center"/>
            <w:hideMark/>
          </w:tcPr>
          <w:p w14:paraId="5845EE5A" w14:textId="77777777" w:rsidR="008851BE" w:rsidRPr="006545AD" w:rsidRDefault="008851BE"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Tổng số hộ</w:t>
            </w:r>
          </w:p>
        </w:tc>
        <w:tc>
          <w:tcPr>
            <w:tcW w:w="992" w:type="dxa"/>
            <w:vMerge/>
            <w:vAlign w:val="center"/>
            <w:hideMark/>
          </w:tcPr>
          <w:p w14:paraId="0DD5DB00" w14:textId="77777777" w:rsidR="008851BE" w:rsidRPr="006545AD" w:rsidRDefault="008851BE" w:rsidP="00350DB3">
            <w:pPr>
              <w:spacing w:before="120" w:after="120" w:line="240" w:lineRule="auto"/>
              <w:jc w:val="center"/>
              <w:rPr>
                <w:rFonts w:ascii="Times New Roman" w:hAnsi="Times New Roman" w:cs="Times New Roman"/>
                <w:sz w:val="28"/>
                <w:szCs w:val="28"/>
              </w:rPr>
            </w:pPr>
          </w:p>
        </w:tc>
      </w:tr>
    </w:tbl>
    <w:p w14:paraId="75001E56"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Chuẩn nghèo đa chiều bao gồm 2 tiêu chí: (1) tiêu chí về thu nhập và (2) tiêu chí về mức độ thiếu hụt dịch vụ xã hội cơ bản. Các tiêu chí để xác định chuẩn nghèo đa chiều dựa trên văn bản quy phạm pháp luật tương ứng theo từng thời kỳ.</w:t>
      </w:r>
    </w:p>
    <w:p w14:paraId="2098B969"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E0DC7D7"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Cs/>
          <w:iCs/>
          <w:sz w:val="28"/>
          <w:szCs w:val="28"/>
          <w:lang w:val="en-US"/>
        </w:rPr>
      </w:pPr>
      <w:r w:rsidRPr="006545AD">
        <w:rPr>
          <w:rFonts w:ascii="Times New Roman" w:eastAsia="Times New Roman" w:hAnsi="Times New Roman" w:cs="Times New Roman"/>
          <w:bCs/>
          <w:iCs/>
          <w:sz w:val="28"/>
          <w:szCs w:val="28"/>
          <w:lang w:val="en-US"/>
        </w:rPr>
        <w:t>- Dân tộc của chủ hộ (Kinh, Hoa và khác);</w:t>
      </w:r>
    </w:p>
    <w:p w14:paraId="11B83CA7"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Cs/>
          <w:iCs/>
          <w:sz w:val="28"/>
          <w:szCs w:val="28"/>
          <w:lang w:val="en-US"/>
        </w:rPr>
      </w:pPr>
      <w:r w:rsidRPr="006545AD">
        <w:rPr>
          <w:rFonts w:ascii="Times New Roman" w:eastAsia="Times New Roman" w:hAnsi="Times New Roman" w:cs="Times New Roman"/>
          <w:bCs/>
          <w:iCs/>
          <w:sz w:val="28"/>
          <w:szCs w:val="28"/>
          <w:lang w:val="en-US"/>
        </w:rPr>
        <w:t>- Thành thị/nông thôn;</w:t>
      </w:r>
    </w:p>
    <w:p w14:paraId="63FB9953"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Tỉnh, thành phố trực thuộc trung ương;</w:t>
      </w:r>
    </w:p>
    <w:p w14:paraId="4635EA01"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Vùng kinh tế - xã hội.</w:t>
      </w:r>
    </w:p>
    <w:p w14:paraId="1D5F14F0"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Năm.</w:t>
      </w:r>
    </w:p>
    <w:p w14:paraId="63B2F63B"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Khảo sát mức sống dân cư Việt Nam.</w:t>
      </w:r>
    </w:p>
    <w:p w14:paraId="639D145E"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5. Cơ quan chịu trách nhiệm thu thập, tổng hợp:</w:t>
      </w:r>
      <w:r w:rsidRPr="006545AD">
        <w:rPr>
          <w:rFonts w:ascii="Times New Roman" w:eastAsia="Times New Roman" w:hAnsi="Times New Roman" w:cs="Times New Roman"/>
          <w:spacing w:val="-4"/>
          <w:sz w:val="28"/>
          <w:szCs w:val="28"/>
        </w:rPr>
        <w:t xml:space="preserve"> Bộ Kế hoạch và Đầu tư (Tổng cục Thống kê).</w:t>
      </w:r>
    </w:p>
    <w:p w14:paraId="1C23394F" w14:textId="5830C6A9" w:rsidR="008851BE" w:rsidRPr="006545AD" w:rsidRDefault="00271007"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4.7</w:t>
      </w:r>
      <w:r w:rsidR="008851BE" w:rsidRPr="006545AD">
        <w:rPr>
          <w:rFonts w:ascii="Times New Roman" w:eastAsia="Times New Roman" w:hAnsi="Times New Roman" w:cs="Times New Roman"/>
          <w:b/>
          <w:sz w:val="28"/>
          <w:szCs w:val="28"/>
        </w:rPr>
        <w:t>.</w:t>
      </w:r>
      <w:r w:rsidR="008851BE" w:rsidRPr="006545AD">
        <w:rPr>
          <w:rFonts w:ascii="Times New Roman" w:eastAsia="Times New Roman" w:hAnsi="Times New Roman" w:cs="Times New Roman"/>
          <w:sz w:val="28"/>
          <w:szCs w:val="28"/>
        </w:rPr>
        <w:t xml:space="preserve"> </w:t>
      </w:r>
      <w:r w:rsidR="008851BE" w:rsidRPr="006545AD">
        <w:rPr>
          <w:rFonts w:ascii="Times New Roman" w:eastAsia="Times New Roman" w:hAnsi="Times New Roman" w:cs="Times New Roman"/>
          <w:b/>
          <w:sz w:val="28"/>
          <w:szCs w:val="28"/>
        </w:rPr>
        <w:t>Tỷ lệ dân số sống trong các nhà tạm</w:t>
      </w:r>
    </w:p>
    <w:p w14:paraId="0E5A5967"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3B2485C2"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Những người sống trong các nhà tạm là người sống trong hộ gia đình thiếu một trong số các thuộc tính sau:</w:t>
      </w:r>
    </w:p>
    <w:p w14:paraId="032C25F1"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Thiếu tiếp cận với nguồn nước hợp vệ sinh;</w:t>
      </w:r>
    </w:p>
    <w:p w14:paraId="4FB84672"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Thiếu tiếp cận với hố xí hợp vệ sinh;</w:t>
      </w:r>
    </w:p>
    <w:p w14:paraId="6B737096"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Thiếu diện tích sinh hoạt;</w:t>
      </w:r>
    </w:p>
    <w:p w14:paraId="46B30DEC"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Thiếu độ bền nhà ở;</w:t>
      </w:r>
    </w:p>
    <w:p w14:paraId="5E29F212"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Thiếu bảo đảm về quyền sở hữu.</w:t>
      </w:r>
    </w:p>
    <w:p w14:paraId="0A38867E"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1"/>
        <w:tblW w:w="5000" w:type="pct"/>
        <w:jc w:val="center"/>
        <w:tblBorders>
          <w:top w:val="nil"/>
          <w:left w:val="nil"/>
          <w:bottom w:val="nil"/>
          <w:right w:val="nil"/>
          <w:insideH w:val="nil"/>
          <w:insideV w:val="nil"/>
        </w:tblBorders>
        <w:tblLook w:val="0600" w:firstRow="0" w:lastRow="0" w:firstColumn="0" w:lastColumn="0" w:noHBand="1" w:noVBand="1"/>
      </w:tblPr>
      <w:tblGrid>
        <w:gridCol w:w="3208"/>
        <w:gridCol w:w="709"/>
        <w:gridCol w:w="3827"/>
        <w:gridCol w:w="1328"/>
      </w:tblGrid>
      <w:tr w:rsidR="008851BE" w:rsidRPr="006545AD" w14:paraId="2F60F9B1" w14:textId="77777777" w:rsidTr="00350DB3">
        <w:trPr>
          <w:trHeight w:val="583"/>
          <w:jc w:val="center"/>
        </w:trPr>
        <w:tc>
          <w:tcPr>
            <w:tcW w:w="1768" w:type="pct"/>
            <w:vMerge w:val="restart"/>
            <w:tcBorders>
              <w:top w:val="nil"/>
              <w:left w:val="nil"/>
              <w:bottom w:val="nil"/>
              <w:right w:val="nil"/>
            </w:tcBorders>
            <w:tcMar>
              <w:top w:w="100" w:type="dxa"/>
              <w:left w:w="100" w:type="dxa"/>
              <w:bottom w:w="100" w:type="dxa"/>
              <w:right w:w="100" w:type="dxa"/>
            </w:tcMar>
            <w:vAlign w:val="center"/>
          </w:tcPr>
          <w:p w14:paraId="358C3D1B"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Tỷ lệ dân số sống trong các nhà tạm (%)</w:t>
            </w:r>
          </w:p>
        </w:tc>
        <w:tc>
          <w:tcPr>
            <w:tcW w:w="391" w:type="pct"/>
            <w:vMerge w:val="restart"/>
            <w:tcBorders>
              <w:top w:val="nil"/>
              <w:left w:val="nil"/>
              <w:bottom w:val="nil"/>
              <w:right w:val="nil"/>
            </w:tcBorders>
            <w:tcMar>
              <w:top w:w="100" w:type="dxa"/>
              <w:left w:w="100" w:type="dxa"/>
              <w:bottom w:w="100" w:type="dxa"/>
              <w:right w:w="100" w:type="dxa"/>
            </w:tcMar>
            <w:vAlign w:val="center"/>
          </w:tcPr>
          <w:p w14:paraId="60110A86"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109" w:type="pct"/>
            <w:tcBorders>
              <w:top w:val="nil"/>
              <w:left w:val="nil"/>
              <w:bottom w:val="single" w:sz="8" w:space="0" w:color="000000"/>
              <w:right w:val="nil"/>
            </w:tcBorders>
            <w:tcMar>
              <w:top w:w="100" w:type="dxa"/>
              <w:left w:w="100" w:type="dxa"/>
              <w:bottom w:w="100" w:type="dxa"/>
              <w:right w:w="100" w:type="dxa"/>
            </w:tcMar>
            <w:vAlign w:val="center"/>
          </w:tcPr>
          <w:p w14:paraId="08CDAF18"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Dân số sống trong các nhà tạm</w:t>
            </w:r>
          </w:p>
        </w:tc>
        <w:tc>
          <w:tcPr>
            <w:tcW w:w="732" w:type="pct"/>
            <w:vMerge w:val="restart"/>
            <w:tcBorders>
              <w:top w:val="nil"/>
              <w:left w:val="nil"/>
              <w:bottom w:val="nil"/>
              <w:right w:val="nil"/>
            </w:tcBorders>
            <w:tcMar>
              <w:top w:w="100" w:type="dxa"/>
              <w:left w:w="100" w:type="dxa"/>
              <w:bottom w:w="100" w:type="dxa"/>
              <w:right w:w="100" w:type="dxa"/>
            </w:tcMar>
            <w:vAlign w:val="center"/>
          </w:tcPr>
          <w:p w14:paraId="55C2DB39" w14:textId="30D72992" w:rsidR="008851BE" w:rsidRPr="006545AD" w:rsidRDefault="00A65278"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vi-VN"/>
              </w:rPr>
              <w:t>x</w:t>
            </w:r>
            <w:r w:rsidR="008851BE" w:rsidRPr="006545AD">
              <w:rPr>
                <w:rFonts w:ascii="Times New Roman" w:eastAsia="Times New Roman" w:hAnsi="Times New Roman" w:cs="Times New Roman"/>
                <w:sz w:val="28"/>
                <w:szCs w:val="28"/>
              </w:rPr>
              <w:t xml:space="preserve"> 100</w:t>
            </w:r>
          </w:p>
        </w:tc>
      </w:tr>
      <w:tr w:rsidR="008851BE" w:rsidRPr="006545AD" w14:paraId="32E1ABF1" w14:textId="77777777" w:rsidTr="00350DB3">
        <w:trPr>
          <w:trHeight w:val="417"/>
          <w:jc w:val="center"/>
        </w:trPr>
        <w:tc>
          <w:tcPr>
            <w:tcW w:w="1768" w:type="pct"/>
            <w:vMerge/>
            <w:tcBorders>
              <w:bottom w:val="nil"/>
              <w:right w:val="nil"/>
            </w:tcBorders>
            <w:shd w:val="clear" w:color="auto" w:fill="auto"/>
            <w:tcMar>
              <w:top w:w="100" w:type="dxa"/>
              <w:left w:w="100" w:type="dxa"/>
              <w:bottom w:w="100" w:type="dxa"/>
              <w:right w:w="100" w:type="dxa"/>
            </w:tcMar>
            <w:vAlign w:val="center"/>
          </w:tcPr>
          <w:p w14:paraId="3657C8ED"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rPr>
            </w:pPr>
          </w:p>
        </w:tc>
        <w:tc>
          <w:tcPr>
            <w:tcW w:w="391" w:type="pct"/>
            <w:vMerge/>
            <w:tcBorders>
              <w:bottom w:val="nil"/>
              <w:right w:val="nil"/>
            </w:tcBorders>
            <w:shd w:val="clear" w:color="auto" w:fill="auto"/>
            <w:tcMar>
              <w:top w:w="100" w:type="dxa"/>
              <w:left w:w="100" w:type="dxa"/>
              <w:bottom w:w="100" w:type="dxa"/>
              <w:right w:w="100" w:type="dxa"/>
            </w:tcMar>
            <w:vAlign w:val="center"/>
          </w:tcPr>
          <w:p w14:paraId="60C40CD4"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rPr>
            </w:pPr>
          </w:p>
        </w:tc>
        <w:tc>
          <w:tcPr>
            <w:tcW w:w="2109" w:type="pct"/>
            <w:tcBorders>
              <w:top w:val="nil"/>
              <w:left w:val="nil"/>
              <w:bottom w:val="nil"/>
              <w:right w:val="nil"/>
            </w:tcBorders>
            <w:shd w:val="clear" w:color="auto" w:fill="auto"/>
            <w:tcMar>
              <w:top w:w="100" w:type="dxa"/>
              <w:left w:w="100" w:type="dxa"/>
              <w:bottom w:w="100" w:type="dxa"/>
              <w:right w:w="100" w:type="dxa"/>
            </w:tcMar>
            <w:vAlign w:val="center"/>
          </w:tcPr>
          <w:p w14:paraId="5C2D0DF6"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Tổng dân số</w:t>
            </w:r>
          </w:p>
        </w:tc>
        <w:tc>
          <w:tcPr>
            <w:tcW w:w="732" w:type="pct"/>
            <w:vMerge/>
            <w:tcBorders>
              <w:bottom w:val="nil"/>
              <w:right w:val="nil"/>
            </w:tcBorders>
            <w:shd w:val="clear" w:color="auto" w:fill="auto"/>
            <w:tcMar>
              <w:top w:w="100" w:type="dxa"/>
              <w:left w:w="100" w:type="dxa"/>
              <w:bottom w:w="100" w:type="dxa"/>
              <w:right w:w="100" w:type="dxa"/>
            </w:tcMar>
            <w:vAlign w:val="center"/>
          </w:tcPr>
          <w:p w14:paraId="477D7441"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rPr>
            </w:pPr>
          </w:p>
        </w:tc>
      </w:tr>
    </w:tbl>
    <w:p w14:paraId="168E1D96"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511BF95"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Giới tính;</w:t>
      </w:r>
    </w:p>
    <w:p w14:paraId="74EFAAE4"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Nhóm tuổi;</w:t>
      </w:r>
    </w:p>
    <w:p w14:paraId="297BDF05"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Người khuyết tật;</w:t>
      </w:r>
    </w:p>
    <w:p w14:paraId="102795C4"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Thành thị/nông thôn.</w:t>
      </w:r>
    </w:p>
    <w:p w14:paraId="59A9369A"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2 năm.</w:t>
      </w:r>
    </w:p>
    <w:p w14:paraId="4BA086D7"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Khảo sát mức sống dân cư Việt Nam.</w:t>
      </w:r>
    </w:p>
    <w:p w14:paraId="6861B83A" w14:textId="77777777" w:rsidR="008851BE" w:rsidRPr="006545AD" w:rsidRDefault="008851BE" w:rsidP="005725BC">
      <w:pPr>
        <w:spacing w:before="60" w:after="60" w:line="34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5. Cơ quan chịu trách nhiệm thu thập, tổng hợp:</w:t>
      </w:r>
      <w:r w:rsidRPr="006545AD">
        <w:rPr>
          <w:rFonts w:ascii="Times New Roman" w:eastAsia="Times New Roman" w:hAnsi="Times New Roman" w:cs="Times New Roman"/>
          <w:spacing w:val="-4"/>
          <w:sz w:val="28"/>
          <w:szCs w:val="28"/>
        </w:rPr>
        <w:t xml:space="preserve"> Bộ Kế hoạch và Đầu tư (Tổng cục Thống kê).</w:t>
      </w:r>
    </w:p>
    <w:p w14:paraId="7EA4DE32" w14:textId="191D1C0C" w:rsidR="008851BE" w:rsidRPr="006545AD" w:rsidRDefault="008851BE" w:rsidP="005725BC">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271007" w:rsidRPr="006545AD">
        <w:rPr>
          <w:rFonts w:ascii="Times New Roman" w:eastAsia="Times New Roman" w:hAnsi="Times New Roman" w:cs="Times New Roman"/>
          <w:b/>
          <w:sz w:val="28"/>
          <w:szCs w:val="28"/>
        </w:rPr>
        <w:t>4.8</w:t>
      </w:r>
      <w:r w:rsidRPr="006545AD">
        <w:rPr>
          <w:rFonts w:ascii="Times New Roman" w:eastAsia="Times New Roman" w:hAnsi="Times New Roman" w:cs="Times New Roman"/>
          <w:b/>
          <w:sz w:val="28"/>
          <w:szCs w:val="28"/>
        </w:rPr>
        <w:t>. Chỉ số bình đẳng trong giáo dục, đào tạo</w:t>
      </w:r>
    </w:p>
    <w:p w14:paraId="15ED1276" w14:textId="77777777" w:rsidR="008851BE" w:rsidRPr="006545AD" w:rsidRDefault="008851BE" w:rsidP="005725BC">
      <w:pPr>
        <w:spacing w:before="60" w:after="60" w:line="34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5B9D15D4" w14:textId="77777777" w:rsidR="005129E0" w:rsidRPr="006545AD" w:rsidRDefault="005129E0"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bình đẳng trong giáo dục, đào tạo là tỷ số giữa giá trị của một chỉ tiêu giáo dục, đào tạo của một nhóm dân số này so với một nhóm dân số khác. Nhóm có nguy cơ thiệt thòi hơn thường được đặt ở tử số. Giá trị của chỉ số càng gần 1 cho thấy sự bình đẳng giữa hai nhóm càng cao; càng gần 0 cho thấy sự bất bình đẳng càng lớn.</w:t>
      </w:r>
    </w:p>
    <w:p w14:paraId="345B3B5C" w14:textId="77777777" w:rsidR="005129E0" w:rsidRPr="006545AD" w:rsidRDefault="005129E0"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bình đẳng trong giáo dục, đào tạo được tiếp cận theo các yếu tố: Giới tính, dân tộc.</w:t>
      </w:r>
    </w:p>
    <w:p w14:paraId="2B010DFE" w14:textId="77777777" w:rsidR="005129E0" w:rsidRPr="006545AD" w:rsidRDefault="005129E0" w:rsidP="005129E0">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4"/>
        <w:tblW w:w="5000" w:type="pct"/>
        <w:jc w:val="center"/>
        <w:tblBorders>
          <w:top w:val="nil"/>
          <w:left w:val="nil"/>
          <w:bottom w:val="nil"/>
          <w:right w:val="nil"/>
          <w:insideH w:val="nil"/>
          <w:insideV w:val="nil"/>
        </w:tblBorders>
        <w:tblLook w:val="0600" w:firstRow="0" w:lastRow="0" w:firstColumn="0" w:lastColumn="0" w:noHBand="1" w:noVBand="1"/>
      </w:tblPr>
      <w:tblGrid>
        <w:gridCol w:w="2969"/>
        <w:gridCol w:w="348"/>
        <w:gridCol w:w="4538"/>
        <w:gridCol w:w="1217"/>
      </w:tblGrid>
      <w:tr w:rsidR="005129E0" w:rsidRPr="006545AD" w14:paraId="3838AD11" w14:textId="77777777" w:rsidTr="00350DB3">
        <w:trPr>
          <w:trHeight w:val="600"/>
          <w:jc w:val="center"/>
        </w:trPr>
        <w:tc>
          <w:tcPr>
            <w:tcW w:w="1636" w:type="pct"/>
            <w:vMerge w:val="restart"/>
            <w:tcBorders>
              <w:top w:val="nil"/>
              <w:left w:val="nil"/>
              <w:bottom w:val="nil"/>
              <w:right w:val="nil"/>
            </w:tcBorders>
            <w:tcMar>
              <w:top w:w="100" w:type="dxa"/>
              <w:left w:w="20" w:type="dxa"/>
              <w:bottom w:w="100" w:type="dxa"/>
              <w:right w:w="20" w:type="dxa"/>
            </w:tcMar>
            <w:vAlign w:val="center"/>
          </w:tcPr>
          <w:p w14:paraId="62828D62" w14:textId="77777777" w:rsidR="005129E0" w:rsidRPr="006545AD" w:rsidRDefault="005129E0"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bình đẳng Y của chỉ tiêu i</w:t>
            </w:r>
          </w:p>
        </w:tc>
        <w:tc>
          <w:tcPr>
            <w:tcW w:w="192" w:type="pct"/>
            <w:vMerge w:val="restart"/>
            <w:tcBorders>
              <w:top w:val="nil"/>
              <w:left w:val="nil"/>
              <w:bottom w:val="nil"/>
              <w:right w:val="nil"/>
            </w:tcBorders>
            <w:tcMar>
              <w:top w:w="100" w:type="dxa"/>
              <w:left w:w="20" w:type="dxa"/>
              <w:bottom w:w="100" w:type="dxa"/>
              <w:right w:w="20" w:type="dxa"/>
            </w:tcMar>
            <w:vAlign w:val="center"/>
          </w:tcPr>
          <w:p w14:paraId="4576C6B6" w14:textId="77777777" w:rsidR="005129E0" w:rsidRPr="006545AD" w:rsidRDefault="005129E0" w:rsidP="00350DB3">
            <w:pPr>
              <w:spacing w:before="60" w:after="60" w:line="360" w:lineRule="exact"/>
              <w:jc w:val="center"/>
              <w:rPr>
                <w:rFonts w:ascii="Times New Roman" w:eastAsia="Times New Roman" w:hAnsi="Times New Roman" w:cs="Times New Roman"/>
                <w:sz w:val="28"/>
                <w:szCs w:val="28"/>
              </w:rPr>
            </w:pPr>
          </w:p>
          <w:p w14:paraId="78B21359" w14:textId="77777777" w:rsidR="005129E0" w:rsidRPr="006545AD" w:rsidRDefault="005129E0"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p w14:paraId="629D385D" w14:textId="77777777" w:rsidR="005129E0" w:rsidRPr="006545AD" w:rsidRDefault="005129E0"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w:t>
            </w:r>
          </w:p>
        </w:tc>
        <w:tc>
          <w:tcPr>
            <w:tcW w:w="2501" w:type="pct"/>
            <w:tcBorders>
              <w:top w:val="nil"/>
              <w:left w:val="nil"/>
              <w:bottom w:val="single" w:sz="8" w:space="0" w:color="000000"/>
              <w:right w:val="nil"/>
            </w:tcBorders>
            <w:tcMar>
              <w:top w:w="100" w:type="dxa"/>
              <w:left w:w="20" w:type="dxa"/>
              <w:bottom w:w="100" w:type="dxa"/>
              <w:right w:w="20" w:type="dxa"/>
            </w:tcMar>
            <w:vAlign w:val="center"/>
          </w:tcPr>
          <w:p w14:paraId="44882B84" w14:textId="77777777" w:rsidR="005129E0" w:rsidRPr="006545AD" w:rsidRDefault="005129E0"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của chỉ tiêu i của nhóm d</w:t>
            </w:r>
          </w:p>
        </w:tc>
        <w:tc>
          <w:tcPr>
            <w:tcW w:w="671" w:type="pct"/>
            <w:vMerge w:val="restart"/>
            <w:tcBorders>
              <w:top w:val="nil"/>
              <w:left w:val="nil"/>
              <w:bottom w:val="nil"/>
              <w:right w:val="nil"/>
            </w:tcBorders>
            <w:tcMar>
              <w:top w:w="100" w:type="dxa"/>
              <w:left w:w="20" w:type="dxa"/>
              <w:bottom w:w="100" w:type="dxa"/>
              <w:right w:w="20" w:type="dxa"/>
            </w:tcMar>
            <w:vAlign w:val="center"/>
          </w:tcPr>
          <w:p w14:paraId="36FA37BA" w14:textId="77777777" w:rsidR="005129E0" w:rsidRPr="006545AD" w:rsidRDefault="005129E0"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×100</w:t>
            </w:r>
          </w:p>
        </w:tc>
      </w:tr>
      <w:tr w:rsidR="005129E0" w:rsidRPr="006545AD" w14:paraId="0DD6E346" w14:textId="77777777" w:rsidTr="005725BC">
        <w:trPr>
          <w:trHeight w:val="533"/>
          <w:jc w:val="center"/>
        </w:trPr>
        <w:tc>
          <w:tcPr>
            <w:tcW w:w="1636" w:type="pct"/>
            <w:vMerge/>
            <w:tcBorders>
              <w:bottom w:val="nil"/>
              <w:right w:val="nil"/>
            </w:tcBorders>
            <w:shd w:val="clear" w:color="auto" w:fill="auto"/>
            <w:tcMar>
              <w:top w:w="100" w:type="dxa"/>
              <w:left w:w="100" w:type="dxa"/>
              <w:bottom w:w="100" w:type="dxa"/>
              <w:right w:w="100" w:type="dxa"/>
            </w:tcMar>
            <w:vAlign w:val="center"/>
          </w:tcPr>
          <w:p w14:paraId="71543E7D" w14:textId="77777777" w:rsidR="005129E0" w:rsidRPr="006545AD" w:rsidRDefault="005129E0" w:rsidP="00350DB3">
            <w:pPr>
              <w:spacing w:before="60" w:after="60" w:line="360" w:lineRule="exact"/>
              <w:jc w:val="both"/>
              <w:rPr>
                <w:rFonts w:ascii="Times New Roman" w:eastAsia="Times New Roman" w:hAnsi="Times New Roman" w:cs="Times New Roman"/>
                <w:sz w:val="28"/>
                <w:szCs w:val="28"/>
              </w:rPr>
            </w:pPr>
          </w:p>
        </w:tc>
        <w:tc>
          <w:tcPr>
            <w:tcW w:w="192" w:type="pct"/>
            <w:vMerge/>
            <w:tcBorders>
              <w:bottom w:val="nil"/>
              <w:right w:val="nil"/>
            </w:tcBorders>
            <w:shd w:val="clear" w:color="auto" w:fill="auto"/>
            <w:tcMar>
              <w:top w:w="100" w:type="dxa"/>
              <w:left w:w="100" w:type="dxa"/>
              <w:bottom w:w="100" w:type="dxa"/>
              <w:right w:w="100" w:type="dxa"/>
            </w:tcMar>
            <w:vAlign w:val="center"/>
          </w:tcPr>
          <w:p w14:paraId="47EE2F08" w14:textId="77777777" w:rsidR="005129E0" w:rsidRPr="006545AD" w:rsidRDefault="005129E0" w:rsidP="00350DB3">
            <w:pPr>
              <w:spacing w:before="60" w:after="60" w:line="360" w:lineRule="exact"/>
              <w:jc w:val="both"/>
              <w:rPr>
                <w:rFonts w:ascii="Times New Roman" w:eastAsia="Times New Roman" w:hAnsi="Times New Roman" w:cs="Times New Roman"/>
                <w:sz w:val="28"/>
                <w:szCs w:val="28"/>
              </w:rPr>
            </w:pPr>
          </w:p>
        </w:tc>
        <w:tc>
          <w:tcPr>
            <w:tcW w:w="2501" w:type="pct"/>
            <w:tcBorders>
              <w:top w:val="nil"/>
              <w:left w:val="nil"/>
              <w:bottom w:val="nil"/>
              <w:right w:val="nil"/>
            </w:tcBorders>
            <w:shd w:val="clear" w:color="auto" w:fill="auto"/>
            <w:tcMar>
              <w:top w:w="100" w:type="dxa"/>
              <w:left w:w="20" w:type="dxa"/>
              <w:bottom w:w="100" w:type="dxa"/>
              <w:right w:w="20" w:type="dxa"/>
            </w:tcMar>
            <w:vAlign w:val="center"/>
          </w:tcPr>
          <w:p w14:paraId="178F15DC" w14:textId="77777777" w:rsidR="005129E0" w:rsidRPr="006545AD" w:rsidRDefault="005129E0" w:rsidP="00350DB3">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Giá trị của chỉ tiêu i của nhóm a</w:t>
            </w:r>
          </w:p>
        </w:tc>
        <w:tc>
          <w:tcPr>
            <w:tcW w:w="671" w:type="pct"/>
            <w:vMerge/>
            <w:tcBorders>
              <w:bottom w:val="nil"/>
              <w:right w:val="nil"/>
            </w:tcBorders>
            <w:shd w:val="clear" w:color="auto" w:fill="auto"/>
            <w:tcMar>
              <w:top w:w="100" w:type="dxa"/>
              <w:left w:w="100" w:type="dxa"/>
              <w:bottom w:w="100" w:type="dxa"/>
              <w:right w:w="100" w:type="dxa"/>
            </w:tcMar>
            <w:vAlign w:val="center"/>
          </w:tcPr>
          <w:p w14:paraId="67464521" w14:textId="77777777" w:rsidR="005129E0" w:rsidRPr="006545AD" w:rsidRDefault="005129E0" w:rsidP="00350DB3">
            <w:pPr>
              <w:spacing w:before="60" w:after="60" w:line="360" w:lineRule="exact"/>
              <w:jc w:val="both"/>
              <w:rPr>
                <w:rFonts w:ascii="Times New Roman" w:eastAsia="Times New Roman" w:hAnsi="Times New Roman" w:cs="Times New Roman"/>
                <w:sz w:val="28"/>
                <w:szCs w:val="28"/>
              </w:rPr>
            </w:pPr>
          </w:p>
        </w:tc>
      </w:tr>
    </w:tbl>
    <w:p w14:paraId="07D9B792" w14:textId="77777777" w:rsidR="005129E0" w:rsidRPr="006545AD" w:rsidRDefault="005129E0" w:rsidP="005129E0">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Trong đó:</w:t>
      </w:r>
    </w:p>
    <w:p w14:paraId="466405ED" w14:textId="77777777" w:rsidR="005129E0" w:rsidRPr="006545AD" w:rsidRDefault="005129E0" w:rsidP="005129E0">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Y: Giới tính, dân tộc;</w:t>
      </w:r>
    </w:p>
    <w:p w14:paraId="06441D2F" w14:textId="0F889F00" w:rsidR="005129E0" w:rsidRPr="006545AD" w:rsidRDefault="005129E0" w:rsidP="005129E0">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 Tỷ lệ học sinh đi học cấp tiểu học;</w:t>
      </w:r>
      <w:r w:rsidR="001018C5"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tỷ lệ học sinh được công nhận hoàn thành chương trình tiểu học; tỷ lệ học sinh đi học cấp trung học cơ sở; tỷ lệ học sinh tốt nghiệp trung học cơ sở; tỷ lệ học sinh hoàn thành cấp trung học cơ sở, tỷ lệ chuyển cấp từ tiểu học lên trung học cơ sở;</w:t>
      </w:r>
    </w:p>
    <w:p w14:paraId="7E203D82" w14:textId="77777777" w:rsidR="005129E0" w:rsidRPr="006545AD" w:rsidRDefault="005129E0" w:rsidP="005129E0">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d: Nhóm bất lợi hơn (nữ, dân tộc khác);</w:t>
      </w:r>
    </w:p>
    <w:p w14:paraId="35E48F3A" w14:textId="77777777" w:rsidR="005129E0" w:rsidRPr="006545AD" w:rsidRDefault="005129E0" w:rsidP="005129E0">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 Nhóm có lợi thế hơn (nam, dân tộc Kinh).</w:t>
      </w:r>
    </w:p>
    <w:p w14:paraId="0E07540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4A2E791D"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Giới tính; </w:t>
      </w:r>
    </w:p>
    <w:p w14:paraId="73E923B3"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lastRenderedPageBreak/>
        <w:t>- Nhóm dân tộc.</w:t>
      </w:r>
    </w:p>
    <w:p w14:paraId="520B85E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Năm.</w:t>
      </w:r>
    </w:p>
    <w:p w14:paraId="1F1C12AF"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1305866A" w14:textId="60537E51"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Chế độ báo cáo thống kê </w:t>
      </w:r>
      <w:r w:rsidR="00A15E8E" w:rsidRPr="006545AD">
        <w:rPr>
          <w:rFonts w:ascii="Times New Roman" w:eastAsia="Times New Roman" w:hAnsi="Times New Roman" w:cs="Times New Roman"/>
          <w:sz w:val="28"/>
          <w:szCs w:val="28"/>
        </w:rPr>
        <w:t xml:space="preserve">ngành </w:t>
      </w:r>
      <w:r w:rsidRPr="006545AD">
        <w:rPr>
          <w:rFonts w:ascii="Times New Roman" w:eastAsia="Times New Roman" w:hAnsi="Times New Roman" w:cs="Times New Roman"/>
          <w:sz w:val="28"/>
          <w:szCs w:val="28"/>
        </w:rPr>
        <w:t>Giáo dục và Đào tạo;</w:t>
      </w:r>
    </w:p>
    <w:p w14:paraId="560244E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thống kê.</w:t>
      </w:r>
    </w:p>
    <w:p w14:paraId="30196AAB"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5. Cơ quan chịu trách nhiệm thu thập, tổng hợp:</w:t>
      </w:r>
    </w:p>
    <w:p w14:paraId="5A1DF06B"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Chủ trì: Bộ Giáo dục và Đào tạo;</w:t>
      </w:r>
    </w:p>
    <w:p w14:paraId="499D31F4" w14:textId="5F18B913"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Phối hợp: Bộ Kế hoạch và Đầu tư (Tổng cục Thống kê)</w:t>
      </w:r>
      <w:r w:rsidR="005129E0" w:rsidRPr="006545AD">
        <w:rPr>
          <w:rFonts w:ascii="Times New Roman" w:eastAsia="Times New Roman" w:hAnsi="Times New Roman" w:cs="Times New Roman"/>
          <w:sz w:val="28"/>
          <w:szCs w:val="28"/>
        </w:rPr>
        <w:t>.</w:t>
      </w:r>
    </w:p>
    <w:p w14:paraId="70725EB9" w14:textId="0AFD1228" w:rsidR="008851BE" w:rsidRPr="006545AD" w:rsidRDefault="00271007" w:rsidP="008851BE">
      <w:pPr>
        <w:spacing w:before="60" w:after="60" w:line="360" w:lineRule="exact"/>
        <w:ind w:firstLine="720"/>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rPr>
        <w:t>4.9</w:t>
      </w:r>
      <w:r w:rsidR="008851BE" w:rsidRPr="006545AD">
        <w:rPr>
          <w:rFonts w:ascii="Times New Roman" w:eastAsia="Times New Roman" w:hAnsi="Times New Roman" w:cs="Times New Roman"/>
          <w:b/>
          <w:sz w:val="28"/>
          <w:szCs w:val="28"/>
        </w:rPr>
        <w:t xml:space="preserve">. </w:t>
      </w:r>
      <w:r w:rsidR="008851BE" w:rsidRPr="006545AD">
        <w:rPr>
          <w:rFonts w:ascii="Times New Roman" w:hAnsi="Times New Roman" w:cs="Times New Roman"/>
          <w:b/>
          <w:sz w:val="28"/>
          <w:szCs w:val="28"/>
        </w:rPr>
        <w:t>Tỷ lệ người tham gia bảo hiểm xã hội</w:t>
      </w:r>
    </w:p>
    <w:p w14:paraId="6EA8D8D0"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b/>
          <w:sz w:val="28"/>
          <w:szCs w:val="28"/>
          <w:lang w:val="nl-NL"/>
        </w:rPr>
        <w:t>1. Khái niệm, phương pháp tính</w:t>
      </w:r>
      <w:r w:rsidRPr="006545AD">
        <w:rPr>
          <w:rFonts w:ascii="Times New Roman" w:eastAsia="Times New Roman" w:hAnsi="Times New Roman" w:cs="Times New Roman"/>
          <w:sz w:val="28"/>
          <w:szCs w:val="28"/>
          <w:lang w:val="nl-NL"/>
        </w:rPr>
        <w:t xml:space="preserve"> </w:t>
      </w:r>
    </w:p>
    <w:p w14:paraId="5E929C45"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 Số người tham gia bảo hiểm xã hội</w:t>
      </w:r>
    </w:p>
    <w:p w14:paraId="3981F4E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Bảo hiểm xã hội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14:paraId="499C589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Số người tham gia bảo hiểm xã hội gồm số người tham gia bảo hiểm xã hội bắt buộc và số người tham gia bảo hiểm xã hội tự nguyện.</w:t>
      </w:r>
    </w:p>
    <w:p w14:paraId="0DFEA40C"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Bảo hiểm xã hội bắt buộc là loại hình bảo hiểm xã hội do Nhà nước tổ chức mà người lao động và người sử dụng lao động phải tham gia.</w:t>
      </w:r>
    </w:p>
    <w:p w14:paraId="7CE80D03"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nl-NL"/>
        </w:rPr>
        <w:t xml:space="preserve">Bảo hiểm xã hội tự nguyện </w:t>
      </w:r>
      <w:r w:rsidRPr="006545AD">
        <w:rPr>
          <w:rFonts w:ascii="Times New Roman" w:eastAsia="Times New Roman" w:hAnsi="Times New Roman" w:cs="Times New Roman"/>
          <w:sz w:val="28"/>
          <w:szCs w:val="28"/>
          <w:lang w:val="en-US"/>
        </w:rPr>
        <w:t>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14:paraId="6D48362E"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Số người tham gia bảo hiểm xã hội bắt buộc thuộc các đối tượng sau:</w:t>
      </w:r>
    </w:p>
    <w:p w14:paraId="065379ED"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lao động là công dân Việt Nam thuộc đối tượng tham gia bảo hiểm xã hội bắt buộc, gồm:</w:t>
      </w:r>
    </w:p>
    <w:p w14:paraId="4B792C46"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14:paraId="02A45598" w14:textId="7E21D060"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làm việc theo hợp đồng lao động có thời hạn từ đủ 01 tháng đến dưới 03 tháng;</w:t>
      </w:r>
    </w:p>
    <w:p w14:paraId="75746BBA"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Cán bộ, công chức, viên chức;</w:t>
      </w:r>
    </w:p>
    <w:p w14:paraId="0E55B1AA"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Công nhân quốc phòng, công nhân công an, người làm công tác khác trong tổ chức cơ yếu;</w:t>
      </w:r>
    </w:p>
    <w:p w14:paraId="088D9151"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lastRenderedPageBreak/>
        <w:t>+ Sĩ quan, quân nhân chuyên nghiệp quân đội nhân dân; sĩ quan, hạ sĩ quan nghiệp vụ, sĩ quan, hạ sĩ quan chuyên môn kỹ thuật công an nhân dân; người làm công tác cơ yếu hưởng lương như đối với quân nhân;</w:t>
      </w:r>
    </w:p>
    <w:p w14:paraId="3A0C79A3"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Hạ sĩ quan, chiến sĩ quân đội nhân dân; hạ sĩ quan, chiến sĩ công an nhân dân phục vụ có thời hạn; học viên quân đội, công an, cơ yếu đang theo học được hưởng sinh hoạt phí;</w:t>
      </w:r>
    </w:p>
    <w:p w14:paraId="0BA33850"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đi làm việc ở nước ngoài theo hợp đồng quy định tại Luật Người lao động Việt Nam đi làm việc ở nước ngoài theo hợp đồng;</w:t>
      </w:r>
    </w:p>
    <w:p w14:paraId="0FB3FD3A" w14:textId="7243E2BD"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quản lý doanh nghiệp, người quản lý điều hành hợp tác xã có hưởng tiền lương;</w:t>
      </w:r>
    </w:p>
    <w:p w14:paraId="07065B56"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hoạt động không chuyên trách ở xã, phường, thị trấn.</w:t>
      </w:r>
    </w:p>
    <w:p w14:paraId="19EAADBD"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14:paraId="5B17E7AD"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Người sử dụng lao động tham gia bảo hiểm xã hội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14:paraId="3F1FC4A5"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Người tham gia bảo hiểm xã hội tự nguyện là công dân Việt Nam từ đủ 15 tuổi trở lên và không thuộc đối tượng tham gia bảo hiểm xã hội bắt buộc.</w:t>
      </w:r>
    </w:p>
    <w:p w14:paraId="40C7BDE4"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b) Tỷ lệ người tham gia bảo hiểm xã hội</w:t>
      </w:r>
    </w:p>
    <w:p w14:paraId="49CCA666"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pacing w:val="-4"/>
          <w:sz w:val="28"/>
          <w:szCs w:val="28"/>
          <w:lang w:val="nl-NL"/>
        </w:rPr>
      </w:pPr>
      <w:r w:rsidRPr="006545AD">
        <w:rPr>
          <w:rFonts w:ascii="Times New Roman" w:eastAsia="Times New Roman" w:hAnsi="Times New Roman" w:cs="Times New Roman"/>
          <w:spacing w:val="-4"/>
          <w:sz w:val="28"/>
          <w:szCs w:val="28"/>
          <w:lang w:val="nl-NL"/>
        </w:rPr>
        <w:t>Tỷ lệ người tham gia bảo hiểm xã hội là tỷ lệ phần trăm giữa số người tham gia bảo hiểm xã hội so với lực lượng lao động trong độ tuổi lao động năm báo cáo.</w:t>
      </w:r>
    </w:p>
    <w:p w14:paraId="4B187756" w14:textId="77777777" w:rsidR="008851BE" w:rsidRPr="006545AD" w:rsidRDefault="008851BE" w:rsidP="005725BC">
      <w:pPr>
        <w:spacing w:before="60" w:after="60" w:line="364"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Công thức tính:</w:t>
      </w:r>
    </w:p>
    <w:tbl>
      <w:tblPr>
        <w:tblW w:w="0" w:type="auto"/>
        <w:jc w:val="center"/>
        <w:tblBorders>
          <w:insideH w:val="single" w:sz="4" w:space="0" w:color="auto"/>
        </w:tblBorders>
        <w:tblCellMar>
          <w:left w:w="28" w:type="dxa"/>
          <w:right w:w="28" w:type="dxa"/>
        </w:tblCellMar>
        <w:tblLook w:val="04A0" w:firstRow="1" w:lastRow="0" w:firstColumn="1" w:lastColumn="0" w:noHBand="0" w:noVBand="1"/>
      </w:tblPr>
      <w:tblGrid>
        <w:gridCol w:w="2300"/>
        <w:gridCol w:w="641"/>
        <w:gridCol w:w="4289"/>
        <w:gridCol w:w="992"/>
      </w:tblGrid>
      <w:tr w:rsidR="008851BE" w:rsidRPr="006545AD" w14:paraId="08E51EF7" w14:textId="77777777" w:rsidTr="005725BC">
        <w:trPr>
          <w:jc w:val="center"/>
        </w:trPr>
        <w:tc>
          <w:tcPr>
            <w:tcW w:w="2300" w:type="dxa"/>
            <w:vMerge w:val="restart"/>
            <w:vAlign w:val="center"/>
          </w:tcPr>
          <w:p w14:paraId="04A707BF" w14:textId="77777777" w:rsidR="008851BE" w:rsidRPr="006545AD" w:rsidRDefault="008851BE"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 xml:space="preserve">Tỷ lệ người tham gia bảo hiểm </w:t>
            </w:r>
            <w:r w:rsidRPr="006545AD">
              <w:rPr>
                <w:rFonts w:ascii="Times New Roman" w:hAnsi="Times New Roman" w:cs="Times New Roman"/>
                <w:spacing w:val="4"/>
                <w:sz w:val="28"/>
                <w:szCs w:val="28"/>
                <w:lang w:val="nl-NL"/>
              </w:rPr>
              <w:t xml:space="preserve">xã hội </w:t>
            </w:r>
            <w:r w:rsidRPr="006545AD">
              <w:rPr>
                <w:rFonts w:ascii="Times New Roman" w:hAnsi="Times New Roman" w:cs="Times New Roman"/>
                <w:sz w:val="28"/>
                <w:szCs w:val="28"/>
              </w:rPr>
              <w:t>(%)</w:t>
            </w:r>
          </w:p>
        </w:tc>
        <w:tc>
          <w:tcPr>
            <w:tcW w:w="641" w:type="dxa"/>
            <w:vMerge w:val="restart"/>
            <w:vAlign w:val="center"/>
          </w:tcPr>
          <w:p w14:paraId="16E0D446" w14:textId="77777777" w:rsidR="008851BE" w:rsidRPr="006545AD" w:rsidRDefault="008851BE"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w:t>
            </w:r>
          </w:p>
        </w:tc>
        <w:tc>
          <w:tcPr>
            <w:tcW w:w="4289" w:type="dxa"/>
            <w:vAlign w:val="center"/>
          </w:tcPr>
          <w:p w14:paraId="4A3C4983" w14:textId="77777777" w:rsidR="008851BE" w:rsidRPr="006545AD" w:rsidRDefault="008851BE"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 xml:space="preserve">Số người tham gia bảo hiểm </w:t>
            </w:r>
            <w:r w:rsidRPr="006545AD">
              <w:rPr>
                <w:rFonts w:ascii="Times New Roman" w:hAnsi="Times New Roman" w:cs="Times New Roman"/>
                <w:spacing w:val="4"/>
                <w:sz w:val="28"/>
                <w:szCs w:val="28"/>
                <w:lang w:val="nl-NL"/>
              </w:rPr>
              <w:t xml:space="preserve">xã hội </w:t>
            </w:r>
            <w:r w:rsidRPr="006545AD">
              <w:rPr>
                <w:rFonts w:ascii="Times New Roman" w:hAnsi="Times New Roman" w:cs="Times New Roman"/>
                <w:sz w:val="28"/>
                <w:szCs w:val="28"/>
              </w:rPr>
              <w:t>năm báo cáo</w:t>
            </w:r>
            <w:r w:rsidRPr="006545AD">
              <w:rPr>
                <w:rFonts w:ascii="Times New Roman" w:hAnsi="Times New Roman" w:cs="Times New Roman"/>
                <w:spacing w:val="4"/>
                <w:sz w:val="28"/>
                <w:szCs w:val="28"/>
                <w:lang w:val="nl-NL"/>
              </w:rPr>
              <w:t xml:space="preserve"> </w:t>
            </w:r>
          </w:p>
        </w:tc>
        <w:tc>
          <w:tcPr>
            <w:tcW w:w="992" w:type="dxa"/>
            <w:vMerge w:val="restart"/>
            <w:vAlign w:val="center"/>
          </w:tcPr>
          <w:p w14:paraId="05DCF664" w14:textId="315E7435" w:rsidR="008851BE" w:rsidRPr="006545AD" w:rsidRDefault="00E10EA3"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lang w:val="vi-VN"/>
              </w:rPr>
              <w:t>x</w:t>
            </w:r>
            <w:r w:rsidR="008851BE" w:rsidRPr="006545AD">
              <w:rPr>
                <w:rFonts w:ascii="Times New Roman" w:hAnsi="Times New Roman" w:cs="Times New Roman"/>
                <w:sz w:val="28"/>
                <w:szCs w:val="28"/>
              </w:rPr>
              <w:t xml:space="preserve"> 100</w:t>
            </w:r>
          </w:p>
        </w:tc>
      </w:tr>
      <w:tr w:rsidR="008851BE" w:rsidRPr="006545AD" w14:paraId="430ADE4A" w14:textId="77777777" w:rsidTr="005725BC">
        <w:trPr>
          <w:jc w:val="center"/>
        </w:trPr>
        <w:tc>
          <w:tcPr>
            <w:tcW w:w="2300" w:type="dxa"/>
            <w:vMerge/>
            <w:vAlign w:val="center"/>
          </w:tcPr>
          <w:p w14:paraId="58E1ABE4" w14:textId="77777777" w:rsidR="008851BE" w:rsidRPr="006545AD" w:rsidRDefault="008851BE" w:rsidP="00350DB3">
            <w:pPr>
              <w:spacing w:before="120" w:after="120" w:line="240" w:lineRule="auto"/>
              <w:jc w:val="center"/>
              <w:rPr>
                <w:rFonts w:ascii="Times New Roman" w:hAnsi="Times New Roman" w:cs="Times New Roman"/>
                <w:sz w:val="28"/>
                <w:szCs w:val="28"/>
              </w:rPr>
            </w:pPr>
          </w:p>
        </w:tc>
        <w:tc>
          <w:tcPr>
            <w:tcW w:w="641" w:type="dxa"/>
            <w:vMerge/>
            <w:vAlign w:val="center"/>
          </w:tcPr>
          <w:p w14:paraId="648C3293" w14:textId="77777777" w:rsidR="008851BE" w:rsidRPr="006545AD" w:rsidRDefault="008851BE" w:rsidP="00350DB3">
            <w:pPr>
              <w:spacing w:before="120" w:after="120" w:line="240" w:lineRule="auto"/>
              <w:jc w:val="center"/>
              <w:rPr>
                <w:rFonts w:ascii="Times New Roman" w:hAnsi="Times New Roman" w:cs="Times New Roman"/>
                <w:sz w:val="28"/>
                <w:szCs w:val="28"/>
              </w:rPr>
            </w:pPr>
          </w:p>
        </w:tc>
        <w:tc>
          <w:tcPr>
            <w:tcW w:w="4289" w:type="dxa"/>
            <w:vAlign w:val="center"/>
          </w:tcPr>
          <w:p w14:paraId="717D2F0E" w14:textId="77777777" w:rsidR="008851BE" w:rsidRPr="006545AD" w:rsidRDefault="008851BE"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Lực lượng lao động trong độ tuổi lao động năm báo cáo</w:t>
            </w:r>
          </w:p>
        </w:tc>
        <w:tc>
          <w:tcPr>
            <w:tcW w:w="992" w:type="dxa"/>
            <w:vMerge/>
            <w:vAlign w:val="center"/>
          </w:tcPr>
          <w:p w14:paraId="6A831D60" w14:textId="77777777" w:rsidR="008851BE" w:rsidRPr="006545AD" w:rsidRDefault="008851BE" w:rsidP="00350DB3">
            <w:pPr>
              <w:spacing w:before="120" w:after="120" w:line="240" w:lineRule="auto"/>
              <w:jc w:val="center"/>
              <w:rPr>
                <w:rFonts w:ascii="Times New Roman" w:hAnsi="Times New Roman" w:cs="Times New Roman"/>
                <w:sz w:val="28"/>
                <w:szCs w:val="28"/>
              </w:rPr>
            </w:pPr>
          </w:p>
        </w:tc>
      </w:tr>
    </w:tbl>
    <w:p w14:paraId="12FEA4BD"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2. Phân tổ chủ yếu</w:t>
      </w:r>
    </w:p>
    <w:p w14:paraId="4E0290B2"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 xml:space="preserve">- Hình thức tham gia bảo hiểm; </w:t>
      </w:r>
    </w:p>
    <w:p w14:paraId="5375D2AE"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Tỉnh, thành phố trực thuộc trung ương;</w:t>
      </w:r>
    </w:p>
    <w:p w14:paraId="6A204B21"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Vùng kinh tế - xã hội.</w:t>
      </w:r>
    </w:p>
    <w:p w14:paraId="73EF1CBB"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b/>
          <w:sz w:val="28"/>
          <w:szCs w:val="28"/>
          <w:lang w:val="nl-NL"/>
        </w:rPr>
        <w:lastRenderedPageBreak/>
        <w:t xml:space="preserve">3. Kỳ công bố: </w:t>
      </w:r>
      <w:r w:rsidRPr="006545AD">
        <w:rPr>
          <w:rFonts w:ascii="Times New Roman" w:eastAsia="Times New Roman" w:hAnsi="Times New Roman" w:cs="Times New Roman"/>
          <w:sz w:val="28"/>
          <w:szCs w:val="28"/>
          <w:lang w:val="nl-NL"/>
        </w:rPr>
        <w:t>Năm.</w:t>
      </w:r>
    </w:p>
    <w:p w14:paraId="372E39C8"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4. Nguồn số liệu</w:t>
      </w:r>
    </w:p>
    <w:p w14:paraId="036B6D46"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pacing w:val="-4"/>
          <w:sz w:val="28"/>
          <w:szCs w:val="28"/>
          <w:lang w:val="nl-NL"/>
        </w:rPr>
      </w:pPr>
      <w:r w:rsidRPr="006545AD">
        <w:rPr>
          <w:rFonts w:ascii="Times New Roman" w:eastAsia="Times New Roman" w:hAnsi="Times New Roman" w:cs="Times New Roman"/>
          <w:b/>
          <w:spacing w:val="-4"/>
          <w:sz w:val="28"/>
          <w:szCs w:val="28"/>
          <w:lang w:val="nl-NL"/>
        </w:rPr>
        <w:t xml:space="preserve">- </w:t>
      </w:r>
      <w:r w:rsidRPr="006545AD">
        <w:rPr>
          <w:rFonts w:ascii="Times New Roman" w:eastAsia="Times New Roman" w:hAnsi="Times New Roman" w:cs="Times New Roman"/>
          <w:spacing w:val="-4"/>
          <w:sz w:val="28"/>
          <w:szCs w:val="28"/>
          <w:lang w:val="en-US"/>
        </w:rPr>
        <w:t xml:space="preserve">Số người tham gia bảo hiểm </w:t>
      </w:r>
      <w:r w:rsidRPr="006545AD">
        <w:rPr>
          <w:rFonts w:ascii="Times New Roman" w:eastAsia="Times New Roman" w:hAnsi="Times New Roman" w:cs="Times New Roman"/>
          <w:spacing w:val="-4"/>
          <w:sz w:val="28"/>
          <w:szCs w:val="28"/>
          <w:lang w:val="nl-NL"/>
        </w:rPr>
        <w:t>xã hội: Chế độ báo cáo thống kê cấp quốc gia;</w:t>
      </w:r>
    </w:p>
    <w:p w14:paraId="4B4BD212" w14:textId="0F9CDF5C"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sz w:val="28"/>
          <w:szCs w:val="28"/>
          <w:lang w:val="nl-NL"/>
        </w:rPr>
        <w:t xml:space="preserve">- </w:t>
      </w:r>
      <w:r w:rsidRPr="006545AD">
        <w:rPr>
          <w:rFonts w:ascii="Times New Roman" w:eastAsia="Times New Roman" w:hAnsi="Times New Roman" w:cs="Times New Roman"/>
          <w:sz w:val="28"/>
          <w:szCs w:val="28"/>
          <w:lang w:val="en-US"/>
        </w:rPr>
        <w:t>Lực lượng lao động trong độ tuổi lao động: Như nguồn số liệu của chỉ tiêu “0201. Lực lượng lao động”</w:t>
      </w:r>
      <w:r w:rsidR="00A15E8E" w:rsidRPr="006545AD">
        <w:rPr>
          <w:rFonts w:ascii="Times New Roman" w:eastAsia="Times New Roman" w:hAnsi="Times New Roman" w:cs="Times New Roman"/>
          <w:sz w:val="28"/>
          <w:szCs w:val="28"/>
          <w:lang w:val="en-US"/>
        </w:rPr>
        <w:t xml:space="preserve"> trong Hệ thống chỉ tiêu thống kê quốc gia.</w:t>
      </w:r>
    </w:p>
    <w:p w14:paraId="36C6ECDC"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 xml:space="preserve">5. Cơ quan chịu trách nhiệm thu thập, tổng hợp </w:t>
      </w:r>
    </w:p>
    <w:p w14:paraId="0879721E" w14:textId="77777777" w:rsidR="008851BE" w:rsidRPr="006545AD" w:rsidRDefault="008851BE" w:rsidP="008851BE">
      <w:pPr>
        <w:spacing w:before="60" w:after="60" w:line="360" w:lineRule="exact"/>
        <w:ind w:firstLine="720"/>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 Chủ trì: Bộ Kế hoạch và Đầu tư (Tổng cục Thống kê);</w:t>
      </w:r>
    </w:p>
    <w:p w14:paraId="361B933C" w14:textId="77777777" w:rsidR="008851BE" w:rsidRPr="006545AD" w:rsidRDefault="008851BE" w:rsidP="008851BE">
      <w:pPr>
        <w:spacing w:before="60" w:after="60" w:line="360" w:lineRule="exact"/>
        <w:ind w:firstLine="720"/>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sz w:val="28"/>
          <w:szCs w:val="28"/>
          <w:lang w:val="nl-NL"/>
        </w:rPr>
        <w:t>- Phối hợp: Bảo hiểm xã hội Việt Nam (cung cấp số liệu về số người tham gia bảo hiểm xã hội).</w:t>
      </w:r>
    </w:p>
    <w:p w14:paraId="5AEC3053" w14:textId="05E9BBE8" w:rsidR="008851BE" w:rsidRPr="006545AD" w:rsidRDefault="00271007" w:rsidP="008851BE">
      <w:pPr>
        <w:spacing w:before="60" w:after="60" w:line="360" w:lineRule="exact"/>
        <w:ind w:firstLine="720"/>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rPr>
        <w:t>4.10</w:t>
      </w:r>
      <w:r w:rsidR="008851BE" w:rsidRPr="006545AD">
        <w:rPr>
          <w:rFonts w:ascii="Times New Roman" w:eastAsia="Times New Roman" w:hAnsi="Times New Roman" w:cs="Times New Roman"/>
          <w:b/>
          <w:sz w:val="28"/>
          <w:szCs w:val="28"/>
        </w:rPr>
        <w:t xml:space="preserve">. </w:t>
      </w:r>
      <w:r w:rsidR="008851BE" w:rsidRPr="006545AD">
        <w:rPr>
          <w:rFonts w:ascii="Times New Roman" w:eastAsia="Times New Roman" w:hAnsi="Times New Roman" w:cs="Times New Roman"/>
          <w:b/>
          <w:sz w:val="28"/>
          <w:szCs w:val="28"/>
          <w:lang w:val="nl-NL"/>
        </w:rPr>
        <w:t>Tỷ lệ người tham gia bảo hiểm y tế</w:t>
      </w:r>
    </w:p>
    <w:p w14:paraId="3206BD97"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b/>
          <w:sz w:val="28"/>
          <w:szCs w:val="28"/>
          <w:lang w:val="nl-NL"/>
        </w:rPr>
        <w:tab/>
        <w:t>1. Khái niệm, phương pháp tính</w:t>
      </w:r>
      <w:r w:rsidRPr="006545AD">
        <w:rPr>
          <w:rFonts w:ascii="Times New Roman" w:eastAsia="Times New Roman" w:hAnsi="Times New Roman" w:cs="Times New Roman"/>
          <w:sz w:val="28"/>
          <w:szCs w:val="28"/>
          <w:lang w:val="nl-NL"/>
        </w:rPr>
        <w:t xml:space="preserve"> </w:t>
      </w:r>
    </w:p>
    <w:p w14:paraId="47A410BD"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a) Số người tham gia bảo hiểm y tế</w:t>
      </w:r>
    </w:p>
    <w:p w14:paraId="7C22F60D"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Bảo hiểm y tế là hình thức bảo hiểm bắt buộc được áp dụng đối với các đối tượng theo quy định của Luật Bảo hiểm y tế để chăm sóc sức khỏe, không vì mục đích lợi nhuận do Nhà nước tổ chức thực hiện.</w:t>
      </w:r>
    </w:p>
    <w:p w14:paraId="6446574B"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Số người tham gia bảo hiểm y tế được xác định theo 6 nhóm đối tượng cụ thể như sau:</w:t>
      </w:r>
    </w:p>
    <w:p w14:paraId="798FBAC6" w14:textId="77777777" w:rsidR="008851BE" w:rsidRPr="006545AD" w:rsidRDefault="008851BE" w:rsidP="008851BE">
      <w:pPr>
        <w:spacing w:before="60" w:after="60" w:line="360" w:lineRule="exact"/>
        <w:jc w:val="both"/>
        <w:rPr>
          <w:rFonts w:ascii="Times New Roman" w:eastAsia="Times New Roman" w:hAnsi="Times New Roman" w:cs="Times New Roman"/>
          <w:bCs/>
          <w:sz w:val="28"/>
          <w:szCs w:val="28"/>
          <w:lang w:val="en-US"/>
        </w:rPr>
      </w:pPr>
      <w:r w:rsidRPr="006545AD">
        <w:rPr>
          <w:rFonts w:ascii="Times New Roman" w:eastAsia="Times New Roman" w:hAnsi="Times New Roman" w:cs="Times New Roman"/>
          <w:sz w:val="28"/>
          <w:szCs w:val="28"/>
          <w:lang w:val="nl-NL"/>
        </w:rPr>
        <w:tab/>
        <w:t xml:space="preserve">- </w:t>
      </w:r>
      <w:r w:rsidRPr="006545AD">
        <w:rPr>
          <w:rFonts w:ascii="Times New Roman" w:eastAsia="Times New Roman" w:hAnsi="Times New Roman" w:cs="Times New Roman"/>
          <w:sz w:val="28"/>
          <w:szCs w:val="28"/>
          <w:lang w:val="vi-VN"/>
        </w:rPr>
        <w:t>Nhóm do người lao động và người sử dụng lao động đóng</w:t>
      </w:r>
      <w:r w:rsidRPr="006545AD">
        <w:rPr>
          <w:rFonts w:ascii="Times New Roman" w:eastAsia="Times New Roman" w:hAnsi="Times New Roman" w:cs="Times New Roman"/>
          <w:sz w:val="28"/>
          <w:szCs w:val="28"/>
          <w:lang w:val="en-US"/>
        </w:rPr>
        <w:t>;</w:t>
      </w:r>
    </w:p>
    <w:p w14:paraId="19FD38AA" w14:textId="77777777" w:rsidR="008851BE" w:rsidRPr="006545AD" w:rsidRDefault="008851BE" w:rsidP="008851BE">
      <w:pPr>
        <w:spacing w:before="60" w:after="60" w:line="360" w:lineRule="exact"/>
        <w:jc w:val="both"/>
        <w:rPr>
          <w:rFonts w:ascii="Times New Roman" w:eastAsia="Times New Roman" w:hAnsi="Times New Roman" w:cs="Times New Roman"/>
          <w:bCs/>
          <w:sz w:val="28"/>
          <w:szCs w:val="28"/>
          <w:lang w:val="en-US"/>
        </w:rPr>
      </w:pPr>
      <w:r w:rsidRPr="006545AD">
        <w:rPr>
          <w:rFonts w:ascii="Times New Roman" w:eastAsia="Times New Roman" w:hAnsi="Times New Roman" w:cs="Times New Roman"/>
          <w:sz w:val="28"/>
          <w:szCs w:val="28"/>
          <w:lang w:val="en-US"/>
        </w:rPr>
        <w:tab/>
        <w:t xml:space="preserve">- </w:t>
      </w:r>
      <w:r w:rsidRPr="006545AD">
        <w:rPr>
          <w:rFonts w:ascii="Times New Roman" w:eastAsia="Times New Roman" w:hAnsi="Times New Roman" w:cs="Times New Roman"/>
          <w:sz w:val="28"/>
          <w:szCs w:val="28"/>
          <w:lang w:val="vi-VN"/>
        </w:rPr>
        <w:t>Nhóm do cơ quan bảo hiểm xã hội đóng</w:t>
      </w:r>
      <w:r w:rsidRPr="006545AD">
        <w:rPr>
          <w:rFonts w:ascii="Times New Roman" w:eastAsia="Times New Roman" w:hAnsi="Times New Roman" w:cs="Times New Roman"/>
          <w:sz w:val="28"/>
          <w:szCs w:val="28"/>
          <w:lang w:val="en-US"/>
        </w:rPr>
        <w:t>;</w:t>
      </w:r>
    </w:p>
    <w:p w14:paraId="2273999E"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xml:space="preserve">- </w:t>
      </w:r>
      <w:r w:rsidRPr="006545AD">
        <w:rPr>
          <w:rFonts w:ascii="Times New Roman" w:eastAsia="Times New Roman" w:hAnsi="Times New Roman" w:cs="Times New Roman"/>
          <w:sz w:val="28"/>
          <w:szCs w:val="28"/>
          <w:lang w:val="vi-VN"/>
        </w:rPr>
        <w:t>Nhóm do ngân sách nhà nước đóng</w:t>
      </w:r>
      <w:r w:rsidRPr="006545AD">
        <w:rPr>
          <w:rFonts w:ascii="Times New Roman" w:eastAsia="Times New Roman" w:hAnsi="Times New Roman" w:cs="Times New Roman"/>
          <w:sz w:val="28"/>
          <w:szCs w:val="28"/>
          <w:lang w:val="en-US"/>
        </w:rPr>
        <w:t>;</w:t>
      </w:r>
    </w:p>
    <w:p w14:paraId="47D8FD4B" w14:textId="77777777" w:rsidR="008851BE" w:rsidRPr="006545AD" w:rsidRDefault="008851BE" w:rsidP="008851BE">
      <w:pPr>
        <w:spacing w:before="60" w:after="60" w:line="360" w:lineRule="exact"/>
        <w:jc w:val="both"/>
        <w:rPr>
          <w:rFonts w:ascii="Times New Roman" w:eastAsia="Times New Roman" w:hAnsi="Times New Roman" w:cs="Times New Roman"/>
          <w:bCs/>
          <w:sz w:val="28"/>
          <w:szCs w:val="28"/>
          <w:lang w:val="en-US"/>
        </w:rPr>
      </w:pPr>
      <w:r w:rsidRPr="006545AD">
        <w:rPr>
          <w:rFonts w:ascii="Times New Roman" w:eastAsia="Times New Roman" w:hAnsi="Times New Roman" w:cs="Times New Roman"/>
          <w:sz w:val="28"/>
          <w:szCs w:val="28"/>
          <w:lang w:val="en-US"/>
        </w:rPr>
        <w:tab/>
        <w:t xml:space="preserve">- </w:t>
      </w:r>
      <w:r w:rsidRPr="006545AD">
        <w:rPr>
          <w:rFonts w:ascii="Times New Roman" w:eastAsia="Times New Roman" w:hAnsi="Times New Roman" w:cs="Times New Roman"/>
          <w:sz w:val="28"/>
          <w:szCs w:val="28"/>
          <w:lang w:val="vi-VN"/>
        </w:rPr>
        <w:t>Nhóm được ngân sách nhà nước hỗ trợ mức đóng</w:t>
      </w:r>
      <w:r w:rsidRPr="006545AD">
        <w:rPr>
          <w:rFonts w:ascii="Times New Roman" w:eastAsia="Times New Roman" w:hAnsi="Times New Roman" w:cs="Times New Roman"/>
          <w:sz w:val="28"/>
          <w:szCs w:val="28"/>
          <w:lang w:val="en-US"/>
        </w:rPr>
        <w:t xml:space="preserve">; </w:t>
      </w:r>
    </w:p>
    <w:p w14:paraId="6A79F73E"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xml:space="preserve">- </w:t>
      </w:r>
      <w:r w:rsidRPr="006545AD">
        <w:rPr>
          <w:rFonts w:ascii="Times New Roman" w:eastAsia="Times New Roman" w:hAnsi="Times New Roman" w:cs="Times New Roman"/>
          <w:sz w:val="28"/>
          <w:szCs w:val="28"/>
          <w:lang w:val="vi-VN"/>
        </w:rPr>
        <w:t>Nhóm tham gia bảo hiểm y tế theo hộ gia đình</w:t>
      </w:r>
      <w:r w:rsidRPr="006545AD">
        <w:rPr>
          <w:rFonts w:ascii="Times New Roman" w:eastAsia="Times New Roman" w:hAnsi="Times New Roman" w:cs="Times New Roman"/>
          <w:sz w:val="28"/>
          <w:szCs w:val="28"/>
          <w:lang w:val="en-US"/>
        </w:rPr>
        <w:t>;</w:t>
      </w:r>
    </w:p>
    <w:p w14:paraId="640EECEC" w14:textId="77777777" w:rsidR="008851BE" w:rsidRPr="006545AD" w:rsidRDefault="008851BE" w:rsidP="008851BE">
      <w:pPr>
        <w:spacing w:before="60" w:after="60" w:line="360" w:lineRule="exact"/>
        <w:jc w:val="both"/>
        <w:rPr>
          <w:rFonts w:ascii="Times New Roman" w:eastAsia="Times New Roman" w:hAnsi="Times New Roman" w:cs="Times New Roman"/>
          <w:bCs/>
          <w:sz w:val="28"/>
          <w:szCs w:val="28"/>
          <w:lang w:val="en-US"/>
        </w:rPr>
      </w:pPr>
      <w:r w:rsidRPr="006545AD">
        <w:rPr>
          <w:rFonts w:ascii="Times New Roman" w:eastAsia="Times New Roman" w:hAnsi="Times New Roman" w:cs="Times New Roman"/>
          <w:sz w:val="28"/>
          <w:szCs w:val="28"/>
          <w:lang w:val="en-US"/>
        </w:rPr>
        <w:tab/>
        <w:t xml:space="preserve">- </w:t>
      </w:r>
      <w:r w:rsidRPr="006545AD">
        <w:rPr>
          <w:rFonts w:ascii="Times New Roman" w:eastAsia="Times New Roman" w:hAnsi="Times New Roman" w:cs="Times New Roman"/>
          <w:sz w:val="28"/>
          <w:szCs w:val="28"/>
          <w:lang w:val="vi-VN"/>
        </w:rPr>
        <w:t>Nhóm do người sử dụng lao động đóng</w:t>
      </w:r>
      <w:r w:rsidRPr="006545AD">
        <w:rPr>
          <w:rFonts w:ascii="Times New Roman" w:eastAsia="Times New Roman" w:hAnsi="Times New Roman" w:cs="Times New Roman"/>
          <w:sz w:val="28"/>
          <w:szCs w:val="28"/>
          <w:lang w:val="en-US"/>
        </w:rPr>
        <w:t>.</w:t>
      </w:r>
    </w:p>
    <w:p w14:paraId="2BA40D0D" w14:textId="77777777" w:rsidR="008851BE" w:rsidRPr="006545AD" w:rsidRDefault="008851BE" w:rsidP="008851BE">
      <w:pPr>
        <w:spacing w:before="60" w:after="60" w:line="360" w:lineRule="exact"/>
        <w:jc w:val="both"/>
        <w:rPr>
          <w:rFonts w:ascii="Times New Roman" w:eastAsia="Times New Roman" w:hAnsi="Times New Roman" w:cs="Times New Roman"/>
          <w:bCs/>
          <w:sz w:val="28"/>
          <w:szCs w:val="28"/>
          <w:lang w:val="en-US"/>
        </w:rPr>
      </w:pPr>
      <w:r w:rsidRPr="006545AD">
        <w:rPr>
          <w:rFonts w:ascii="Times New Roman" w:eastAsia="Times New Roman" w:hAnsi="Times New Roman" w:cs="Times New Roman"/>
          <w:sz w:val="28"/>
          <w:szCs w:val="28"/>
          <w:lang w:val="en-US"/>
        </w:rPr>
        <w:tab/>
        <w:t>Chi tiết về người tham gia bảo hiểm y tế thuộc 06 nhóm tham gia bảo hiểm y tế quy định tại Điều 1, Điều 2, Điều 3, Điều 4, Điều 5, Điều 6 Chương I Nghị định số 146/2018/NĐ-CP ngày 17 tháng 10 năm 2018 của Chính phủ quy định chi tiết và hướng dẫn thi hành một số điều của Luật Bảo hiểm y tế.</w:t>
      </w:r>
    </w:p>
    <w:p w14:paraId="4F95741A"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b) Tỷ lệ người tham gia bảo hiểm y tế</w:t>
      </w:r>
    </w:p>
    <w:p w14:paraId="3393F51E"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Tỷ lệ người tham gia bảo hiểm y tế là tỷ lệ phần trăm giữa số người tham gia bảo hiểm y tế so với dân số trung bình năm báo cáo.</w:t>
      </w:r>
    </w:p>
    <w:p w14:paraId="4E2F5A69"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Công thức tính:</w:t>
      </w:r>
    </w:p>
    <w:tbl>
      <w:tblPr>
        <w:tblW w:w="8837" w:type="dxa"/>
        <w:jc w:val="center"/>
        <w:tblBorders>
          <w:insideH w:val="single" w:sz="4" w:space="0" w:color="auto"/>
        </w:tblBorders>
        <w:tblCellMar>
          <w:left w:w="28" w:type="dxa"/>
          <w:right w:w="28" w:type="dxa"/>
        </w:tblCellMar>
        <w:tblLook w:val="04A0" w:firstRow="1" w:lastRow="0" w:firstColumn="1" w:lastColumn="0" w:noHBand="0" w:noVBand="1"/>
      </w:tblPr>
      <w:tblGrid>
        <w:gridCol w:w="2584"/>
        <w:gridCol w:w="641"/>
        <w:gridCol w:w="4288"/>
        <w:gridCol w:w="1324"/>
      </w:tblGrid>
      <w:tr w:rsidR="008851BE" w:rsidRPr="006545AD" w14:paraId="0C272F24" w14:textId="77777777" w:rsidTr="005725BC">
        <w:trPr>
          <w:jc w:val="center"/>
        </w:trPr>
        <w:tc>
          <w:tcPr>
            <w:tcW w:w="2584" w:type="dxa"/>
            <w:vMerge w:val="restart"/>
            <w:vAlign w:val="center"/>
          </w:tcPr>
          <w:p w14:paraId="09AC582C"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Tỷ lệ người tham gia bảo hiểm y tế (%)</w:t>
            </w:r>
          </w:p>
        </w:tc>
        <w:tc>
          <w:tcPr>
            <w:tcW w:w="641" w:type="dxa"/>
            <w:vMerge w:val="restart"/>
            <w:vAlign w:val="center"/>
          </w:tcPr>
          <w:p w14:paraId="33BF4449"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w:t>
            </w:r>
          </w:p>
        </w:tc>
        <w:tc>
          <w:tcPr>
            <w:tcW w:w="4288" w:type="dxa"/>
            <w:vAlign w:val="center"/>
          </w:tcPr>
          <w:p w14:paraId="4BAB761E"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Số người tham gia bảo hiểm y tế năm báo cáo</w:t>
            </w:r>
          </w:p>
        </w:tc>
        <w:tc>
          <w:tcPr>
            <w:tcW w:w="1324" w:type="dxa"/>
            <w:vMerge w:val="restart"/>
            <w:vAlign w:val="center"/>
          </w:tcPr>
          <w:p w14:paraId="0BDF2F53" w14:textId="1031988D" w:rsidR="008851BE" w:rsidRPr="006545AD" w:rsidRDefault="00FB770E"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vi-VN"/>
              </w:rPr>
              <w:t xml:space="preserve"> x</w:t>
            </w:r>
            <w:r w:rsidR="008851BE" w:rsidRPr="006545AD">
              <w:rPr>
                <w:rFonts w:ascii="Times New Roman" w:eastAsia="Times New Roman" w:hAnsi="Times New Roman" w:cs="Times New Roman"/>
                <w:sz w:val="28"/>
                <w:szCs w:val="28"/>
                <w:lang w:val="en-US"/>
              </w:rPr>
              <w:t xml:space="preserve"> 100</w:t>
            </w:r>
          </w:p>
        </w:tc>
      </w:tr>
      <w:tr w:rsidR="008851BE" w:rsidRPr="006545AD" w14:paraId="2443A17D" w14:textId="77777777" w:rsidTr="005725BC">
        <w:trPr>
          <w:trHeight w:val="649"/>
          <w:jc w:val="center"/>
        </w:trPr>
        <w:tc>
          <w:tcPr>
            <w:tcW w:w="2584" w:type="dxa"/>
            <w:vMerge/>
            <w:vAlign w:val="center"/>
          </w:tcPr>
          <w:p w14:paraId="56481D17"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lang w:val="en-US"/>
              </w:rPr>
            </w:pPr>
          </w:p>
        </w:tc>
        <w:tc>
          <w:tcPr>
            <w:tcW w:w="641" w:type="dxa"/>
            <w:vMerge/>
            <w:vAlign w:val="center"/>
          </w:tcPr>
          <w:p w14:paraId="2790F138"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lang w:val="en-US"/>
              </w:rPr>
            </w:pPr>
          </w:p>
        </w:tc>
        <w:tc>
          <w:tcPr>
            <w:tcW w:w="4288" w:type="dxa"/>
            <w:vAlign w:val="center"/>
          </w:tcPr>
          <w:p w14:paraId="7E82C077" w14:textId="77777777" w:rsidR="008851BE" w:rsidRPr="006545AD" w:rsidRDefault="008851BE" w:rsidP="00350DB3">
            <w:pPr>
              <w:spacing w:before="60" w:after="60" w:line="360" w:lineRule="exact"/>
              <w:jc w:val="center"/>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Dân số trung bình năm báo cáo</w:t>
            </w:r>
          </w:p>
        </w:tc>
        <w:tc>
          <w:tcPr>
            <w:tcW w:w="1324" w:type="dxa"/>
            <w:vMerge/>
            <w:vAlign w:val="center"/>
          </w:tcPr>
          <w:p w14:paraId="791E8E3D" w14:textId="77777777" w:rsidR="008851BE" w:rsidRPr="006545AD" w:rsidRDefault="008851BE" w:rsidP="00350DB3">
            <w:pPr>
              <w:spacing w:before="60" w:after="60" w:line="360" w:lineRule="exact"/>
              <w:jc w:val="both"/>
              <w:rPr>
                <w:rFonts w:ascii="Times New Roman" w:eastAsia="Times New Roman" w:hAnsi="Times New Roman" w:cs="Times New Roman"/>
                <w:sz w:val="28"/>
                <w:szCs w:val="28"/>
                <w:lang w:val="en-US"/>
              </w:rPr>
            </w:pPr>
          </w:p>
        </w:tc>
      </w:tr>
    </w:tbl>
    <w:p w14:paraId="5196FE78"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ab/>
        <w:t>2. Phân tổ chủ yếu</w:t>
      </w:r>
    </w:p>
    <w:p w14:paraId="28AD1511"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lastRenderedPageBreak/>
        <w:tab/>
        <w:t xml:space="preserve">- Nhóm tham gia bảo hiểm y tế; </w:t>
      </w:r>
    </w:p>
    <w:p w14:paraId="130DEDFE"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Tỉnh, thành phố trực thuộc trung ương;</w:t>
      </w:r>
    </w:p>
    <w:p w14:paraId="186FE153"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Vùng kinh tế - xã hội.</w:t>
      </w:r>
    </w:p>
    <w:p w14:paraId="1723DB89"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b/>
          <w:sz w:val="28"/>
          <w:szCs w:val="28"/>
          <w:lang w:val="nl-NL"/>
        </w:rPr>
        <w:tab/>
        <w:t xml:space="preserve">3. Kỳ công bố: </w:t>
      </w:r>
      <w:r w:rsidRPr="006545AD">
        <w:rPr>
          <w:rFonts w:ascii="Times New Roman" w:eastAsia="Times New Roman" w:hAnsi="Times New Roman" w:cs="Times New Roman"/>
          <w:sz w:val="28"/>
          <w:szCs w:val="28"/>
          <w:lang w:val="nl-NL"/>
        </w:rPr>
        <w:t>Năm.</w:t>
      </w:r>
    </w:p>
    <w:p w14:paraId="55A9DAF4"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ab/>
        <w:t>4. Nguồn số liệu</w:t>
      </w:r>
    </w:p>
    <w:p w14:paraId="7041A7B7"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en-US"/>
        </w:rPr>
        <w:tab/>
        <w:t xml:space="preserve">- Số người tham gia bảo hiểm y tế: </w:t>
      </w:r>
      <w:r w:rsidRPr="006545AD">
        <w:rPr>
          <w:rFonts w:ascii="Times New Roman" w:eastAsia="Times New Roman" w:hAnsi="Times New Roman" w:cs="Times New Roman"/>
          <w:sz w:val="28"/>
          <w:szCs w:val="28"/>
          <w:lang w:val="nl-NL"/>
        </w:rPr>
        <w:t>Chế độ báo cáo thống kê cấp quốc gia;</w:t>
      </w:r>
    </w:p>
    <w:p w14:paraId="21CC18F5" w14:textId="59B621AD" w:rsidR="008851BE" w:rsidRPr="006545AD" w:rsidRDefault="008851BE" w:rsidP="008851BE">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nl-NL"/>
        </w:rPr>
        <w:tab/>
        <w:t xml:space="preserve">- </w:t>
      </w:r>
      <w:r w:rsidRPr="006545AD">
        <w:rPr>
          <w:rFonts w:ascii="Times New Roman" w:eastAsia="Times New Roman" w:hAnsi="Times New Roman" w:cs="Times New Roman"/>
          <w:sz w:val="28"/>
          <w:szCs w:val="28"/>
          <w:lang w:val="en-US"/>
        </w:rPr>
        <w:t>Dân số trung bình: Như nguồn số liệu của chỉ tiêu “0102. Dân số, mật độ dân số”</w:t>
      </w:r>
      <w:r w:rsidR="00A15E8E" w:rsidRPr="006545AD">
        <w:rPr>
          <w:rFonts w:ascii="Times New Roman" w:eastAsia="Times New Roman" w:hAnsi="Times New Roman" w:cs="Times New Roman"/>
          <w:sz w:val="28"/>
          <w:szCs w:val="28"/>
          <w:lang w:val="en-US"/>
        </w:rPr>
        <w:t xml:space="preserve"> trong Hệ thống chỉ tiêu thống kê quốc gia.</w:t>
      </w:r>
    </w:p>
    <w:p w14:paraId="2DE6440D"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ab/>
        <w:t xml:space="preserve">5. Cơ quan chịu trách nhiệm thu thập, tổng hợp </w:t>
      </w:r>
    </w:p>
    <w:p w14:paraId="75CD606A"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 Chủ trì: Bộ Kế hoạch và Đầu tư (Tổng cục Thống kê);</w:t>
      </w:r>
    </w:p>
    <w:p w14:paraId="62F8BD77"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 Phối hợp: Bảo hiểm xã hội Việt Nam (thu thập số liệu số người tham gia bảo hiểm y tế).</w:t>
      </w:r>
    </w:p>
    <w:p w14:paraId="7B895AEA" w14:textId="3E54A148" w:rsidR="008851BE" w:rsidRPr="006545AD" w:rsidRDefault="00271007" w:rsidP="008851BE">
      <w:pPr>
        <w:spacing w:before="60" w:after="60" w:line="360" w:lineRule="exact"/>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ab/>
        <w:t>4.11.</w:t>
      </w:r>
      <w:r w:rsidR="008851BE" w:rsidRPr="006545AD">
        <w:rPr>
          <w:rFonts w:ascii="Times New Roman" w:eastAsia="Times New Roman" w:hAnsi="Times New Roman" w:cs="Times New Roman"/>
          <w:b/>
          <w:sz w:val="28"/>
          <w:szCs w:val="28"/>
          <w:lang w:val="nl-NL"/>
        </w:rPr>
        <w:t xml:space="preserve"> Tỷ lệ người tham gia bảo hiểm thất nghiệp</w:t>
      </w:r>
    </w:p>
    <w:p w14:paraId="5F71B74C"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lang w:val="nl-NL"/>
        </w:rPr>
      </w:pPr>
      <w:r w:rsidRPr="006545AD">
        <w:rPr>
          <w:rFonts w:ascii="Times New Roman" w:eastAsia="Times New Roman" w:hAnsi="Times New Roman" w:cs="Times New Roman"/>
          <w:b/>
          <w:sz w:val="28"/>
          <w:szCs w:val="28"/>
          <w:lang w:val="nl-NL"/>
        </w:rPr>
        <w:tab/>
      </w:r>
      <w:r w:rsidRPr="006545AD">
        <w:rPr>
          <w:rFonts w:ascii="Times New Roman" w:hAnsi="Times New Roman" w:cs="Times New Roman"/>
          <w:b/>
          <w:sz w:val="28"/>
          <w:szCs w:val="28"/>
          <w:lang w:val="nl-NL"/>
        </w:rPr>
        <w:t>1. Khái niệm, phương pháp tính</w:t>
      </w:r>
      <w:r w:rsidRPr="006545AD">
        <w:rPr>
          <w:rFonts w:ascii="Times New Roman" w:hAnsi="Times New Roman" w:cs="Times New Roman"/>
          <w:spacing w:val="4"/>
          <w:sz w:val="28"/>
          <w:szCs w:val="28"/>
          <w:lang w:val="nl-NL"/>
        </w:rPr>
        <w:t xml:space="preserve"> </w:t>
      </w:r>
    </w:p>
    <w:p w14:paraId="2891B4DB" w14:textId="77777777" w:rsidR="008851BE" w:rsidRPr="006545AD" w:rsidRDefault="008851BE" w:rsidP="008851BE">
      <w:pPr>
        <w:spacing w:before="60" w:after="60" w:line="360" w:lineRule="exact"/>
        <w:jc w:val="both"/>
        <w:rPr>
          <w:rFonts w:ascii="Times New Roman" w:hAnsi="Times New Roman" w:cs="Times New Roman"/>
          <w:sz w:val="28"/>
          <w:szCs w:val="28"/>
        </w:rPr>
      </w:pPr>
      <w:r w:rsidRPr="006545AD">
        <w:rPr>
          <w:rFonts w:ascii="Times New Roman" w:eastAsia="Times New Roman" w:hAnsi="Times New Roman" w:cs="Times New Roman"/>
          <w:b/>
          <w:sz w:val="28"/>
          <w:szCs w:val="28"/>
          <w:lang w:val="nl-NL"/>
        </w:rPr>
        <w:tab/>
      </w:r>
      <w:r w:rsidRPr="006545AD">
        <w:rPr>
          <w:rFonts w:ascii="Times New Roman" w:hAnsi="Times New Roman" w:cs="Times New Roman"/>
          <w:sz w:val="28"/>
          <w:szCs w:val="28"/>
        </w:rPr>
        <w:t>a) Số người tham gia bảo hiểm thất nghiệp</w:t>
      </w:r>
    </w:p>
    <w:p w14:paraId="78D3EBA7" w14:textId="77777777" w:rsidR="008851BE" w:rsidRPr="006545AD" w:rsidRDefault="008851BE" w:rsidP="008851BE">
      <w:pPr>
        <w:spacing w:before="60" w:after="60" w:line="360" w:lineRule="exact"/>
        <w:jc w:val="both"/>
        <w:rPr>
          <w:rFonts w:ascii="Times New Roman" w:eastAsia="Times New Roman" w:hAnsi="Times New Roman" w:cs="Times New Roman"/>
          <w:b/>
          <w:sz w:val="28"/>
          <w:szCs w:val="28"/>
          <w:lang w:val="nl-NL"/>
        </w:rPr>
      </w:pPr>
      <w:r w:rsidRPr="006545AD">
        <w:rPr>
          <w:rFonts w:ascii="Times New Roman" w:hAnsi="Times New Roman" w:cs="Times New Roman"/>
          <w:sz w:val="28"/>
          <w:szCs w:val="28"/>
        </w:rPr>
        <w:tab/>
      </w:r>
      <w:r w:rsidRPr="006545AD">
        <w:rPr>
          <w:rFonts w:ascii="Times New Roman" w:hAnsi="Times New Roman" w:cs="Times New Roman"/>
          <w:sz w:val="28"/>
          <w:szCs w:val="28"/>
          <w:lang w:val="nl-NL"/>
        </w:rPr>
        <w:t>Bảo hiểm thất nghiệp là chế độ nhằm bù đắp một phần thu nhập của người lao động khi bị mất việc làm, hỗ trợ người lao động học nghề, duy trì việc làm, tìm việc làm trên cơ sở đóng vào Quỹ bảo hiểm thất nghiệp.</w:t>
      </w:r>
    </w:p>
    <w:p w14:paraId="75046B69" w14:textId="77777777" w:rsidR="008851BE" w:rsidRPr="006545AD" w:rsidRDefault="008851BE" w:rsidP="008851BE">
      <w:pPr>
        <w:tabs>
          <w:tab w:val="left" w:pos="0"/>
          <w:tab w:val="left" w:pos="360"/>
          <w:tab w:val="left" w:pos="900"/>
        </w:tabs>
        <w:spacing w:before="120" w:after="120" w:line="240" w:lineRule="auto"/>
        <w:ind w:firstLine="709"/>
        <w:jc w:val="both"/>
        <w:rPr>
          <w:rFonts w:ascii="Times New Roman" w:hAnsi="Times New Roman" w:cs="Times New Roman"/>
          <w:sz w:val="28"/>
          <w:szCs w:val="28"/>
          <w:lang w:val="nl-NL"/>
        </w:rPr>
      </w:pPr>
      <w:r w:rsidRPr="006545AD">
        <w:rPr>
          <w:rFonts w:ascii="Times New Roman" w:hAnsi="Times New Roman" w:cs="Times New Roman"/>
          <w:sz w:val="28"/>
          <w:szCs w:val="28"/>
          <w:lang w:val="nl-NL"/>
        </w:rPr>
        <w:t>Số người tham gia bảo hiểm thất nghiệp được xác định như sau:</w:t>
      </w:r>
    </w:p>
    <w:p w14:paraId="4599A430" w14:textId="77777777" w:rsidR="008851BE" w:rsidRPr="006545AD" w:rsidRDefault="008851BE" w:rsidP="008851BE">
      <w:pPr>
        <w:pStyle w:val="NormalWeb"/>
        <w:shd w:val="clear" w:color="auto" w:fill="FFFFFF"/>
        <w:spacing w:before="120" w:after="120"/>
        <w:ind w:firstLine="709"/>
        <w:jc w:val="both"/>
        <w:rPr>
          <w:sz w:val="28"/>
          <w:szCs w:val="28"/>
          <w:lang w:val="nl-NL"/>
        </w:rPr>
      </w:pPr>
      <w:r w:rsidRPr="006545AD">
        <w:rPr>
          <w:sz w:val="28"/>
          <w:szCs w:val="28"/>
          <w:lang w:val="nl-NL"/>
        </w:rPr>
        <w:t>- Người lao động phải tham gia bảo hiểm thất nghiệp khi làm việc theo hợp đồng lao động hoặc hợp đồng làm việc như sau:</w:t>
      </w:r>
    </w:p>
    <w:p w14:paraId="323CA7D2" w14:textId="77777777" w:rsidR="008851BE" w:rsidRPr="006545AD" w:rsidRDefault="008851BE" w:rsidP="008851BE">
      <w:pPr>
        <w:pStyle w:val="NormalWeb"/>
        <w:shd w:val="clear" w:color="auto" w:fill="FFFFFF"/>
        <w:spacing w:before="120" w:after="120"/>
        <w:ind w:firstLine="709"/>
        <w:jc w:val="both"/>
        <w:rPr>
          <w:sz w:val="28"/>
          <w:szCs w:val="28"/>
          <w:lang w:val="nl-NL"/>
        </w:rPr>
      </w:pPr>
      <w:r w:rsidRPr="006545AD">
        <w:rPr>
          <w:sz w:val="28"/>
          <w:szCs w:val="28"/>
          <w:lang w:val="nl-NL"/>
        </w:rPr>
        <w:t>+ Hợp đồng lao động hoặc hợp đồng làm việc không xác định thời hạn;</w:t>
      </w:r>
    </w:p>
    <w:p w14:paraId="5BFEE9B8" w14:textId="77777777" w:rsidR="008851BE" w:rsidRPr="006545AD" w:rsidRDefault="008851BE" w:rsidP="008851BE">
      <w:pPr>
        <w:pStyle w:val="NormalWeb"/>
        <w:shd w:val="clear" w:color="auto" w:fill="FFFFFF"/>
        <w:spacing w:before="120" w:after="120"/>
        <w:ind w:firstLine="709"/>
        <w:jc w:val="both"/>
        <w:rPr>
          <w:sz w:val="28"/>
          <w:szCs w:val="28"/>
          <w:lang w:val="nl-NL"/>
        </w:rPr>
      </w:pPr>
      <w:r w:rsidRPr="006545AD">
        <w:rPr>
          <w:sz w:val="28"/>
          <w:szCs w:val="28"/>
          <w:lang w:val="nl-NL"/>
        </w:rPr>
        <w:t>+ Hợp đồng lao động hoặc hợp đồng làm việc xác định thời hạn;</w:t>
      </w:r>
    </w:p>
    <w:p w14:paraId="5D592E27" w14:textId="77777777" w:rsidR="008851BE" w:rsidRPr="006545AD" w:rsidRDefault="008851BE" w:rsidP="005725BC">
      <w:pPr>
        <w:pStyle w:val="NormalWeb"/>
        <w:shd w:val="clear" w:color="auto" w:fill="FFFFFF"/>
        <w:spacing w:before="120" w:after="120" w:line="370" w:lineRule="exact"/>
        <w:ind w:firstLine="709"/>
        <w:jc w:val="both"/>
        <w:rPr>
          <w:sz w:val="28"/>
          <w:szCs w:val="28"/>
          <w:lang w:val="nl-NL"/>
        </w:rPr>
      </w:pPr>
      <w:r w:rsidRPr="006545AD">
        <w:rPr>
          <w:sz w:val="28"/>
          <w:szCs w:val="28"/>
          <w:lang w:val="nl-NL"/>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14:paraId="414C871A" w14:textId="77777777" w:rsidR="008851BE" w:rsidRPr="006545AD" w:rsidRDefault="008851BE" w:rsidP="005725BC">
      <w:pPr>
        <w:pStyle w:val="NormalWeb"/>
        <w:shd w:val="clear" w:color="auto" w:fill="FFFFFF"/>
        <w:spacing w:before="120" w:after="120" w:line="370" w:lineRule="exact"/>
        <w:ind w:firstLine="709"/>
        <w:jc w:val="both"/>
        <w:rPr>
          <w:sz w:val="28"/>
          <w:szCs w:val="28"/>
          <w:lang w:val="nl-NL"/>
        </w:rPr>
      </w:pPr>
      <w:r w:rsidRPr="006545AD">
        <w:rPr>
          <w:sz w:val="28"/>
          <w:szCs w:val="28"/>
          <w:lang w:val="nl-NL"/>
        </w:rPr>
        <w:t>- Người lao động theo quy định tại khoản 1 Điều 43 Luật Việc làm đang hưởng lương hưu, giúp việc gia đình thì không phải tham gia bảo hiểm thất nghiệp.</w:t>
      </w:r>
    </w:p>
    <w:p w14:paraId="2FE7D0BB" w14:textId="77777777" w:rsidR="008851BE" w:rsidRPr="006545AD" w:rsidRDefault="008851BE" w:rsidP="005725BC">
      <w:pPr>
        <w:pStyle w:val="NormalWeb"/>
        <w:shd w:val="clear" w:color="auto" w:fill="FFFFFF"/>
        <w:spacing w:before="120" w:after="120" w:line="370" w:lineRule="exact"/>
        <w:ind w:firstLine="709"/>
        <w:jc w:val="both"/>
        <w:rPr>
          <w:sz w:val="28"/>
          <w:szCs w:val="28"/>
          <w:lang w:val="nl-NL"/>
        </w:rPr>
      </w:pPr>
      <w:r w:rsidRPr="006545AD">
        <w:rPr>
          <w:sz w:val="28"/>
          <w:szCs w:val="28"/>
          <w:lang w:val="nl-NL"/>
        </w:rPr>
        <w:t xml:space="preserve">- 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 </w:t>
      </w:r>
    </w:p>
    <w:p w14:paraId="6B3F5911" w14:textId="77777777" w:rsidR="008851BE" w:rsidRPr="006545AD" w:rsidRDefault="008851BE" w:rsidP="005725BC">
      <w:pPr>
        <w:spacing w:before="120" w:after="120" w:line="370" w:lineRule="exact"/>
        <w:ind w:firstLine="709"/>
        <w:jc w:val="both"/>
        <w:rPr>
          <w:rFonts w:ascii="Times New Roman" w:hAnsi="Times New Roman" w:cs="Times New Roman"/>
          <w:spacing w:val="-6"/>
          <w:sz w:val="28"/>
          <w:szCs w:val="28"/>
        </w:rPr>
      </w:pPr>
      <w:r w:rsidRPr="006545AD">
        <w:rPr>
          <w:rFonts w:ascii="Times New Roman" w:hAnsi="Times New Roman" w:cs="Times New Roman"/>
          <w:spacing w:val="-6"/>
          <w:sz w:val="28"/>
          <w:szCs w:val="28"/>
        </w:rPr>
        <w:lastRenderedPageBreak/>
        <w:t>b) Tỷ lệ người tham gia bảo hiểm thất nghiệp</w:t>
      </w:r>
    </w:p>
    <w:p w14:paraId="7848D7C9" w14:textId="77777777" w:rsidR="008851BE" w:rsidRPr="006545AD" w:rsidRDefault="008851BE" w:rsidP="008851BE">
      <w:pPr>
        <w:tabs>
          <w:tab w:val="left" w:pos="0"/>
          <w:tab w:val="left" w:pos="360"/>
          <w:tab w:val="left" w:pos="900"/>
        </w:tabs>
        <w:spacing w:before="120" w:after="120" w:line="240" w:lineRule="auto"/>
        <w:ind w:firstLine="709"/>
        <w:jc w:val="both"/>
        <w:rPr>
          <w:rFonts w:ascii="Times New Roman" w:hAnsi="Times New Roman" w:cs="Times New Roman"/>
          <w:sz w:val="28"/>
          <w:szCs w:val="28"/>
          <w:lang w:val="nl-NL"/>
        </w:rPr>
      </w:pPr>
      <w:r w:rsidRPr="006545AD">
        <w:rPr>
          <w:rFonts w:ascii="Times New Roman" w:hAnsi="Times New Roman" w:cs="Times New Roman"/>
          <w:spacing w:val="4"/>
          <w:sz w:val="28"/>
          <w:szCs w:val="28"/>
          <w:lang w:val="nl-NL"/>
        </w:rPr>
        <w:t xml:space="preserve">Tỷ lệ người tham gia bảo hiểm thất nghiệp là tỷ lệ phần trăm giữa số người tham gia bảo hiểm thất nghiệp so với lực lượng lao động trong độ tuổi </w:t>
      </w:r>
      <w:r w:rsidRPr="006545AD">
        <w:rPr>
          <w:rFonts w:ascii="Times New Roman" w:hAnsi="Times New Roman" w:cs="Times New Roman"/>
          <w:sz w:val="28"/>
          <w:szCs w:val="28"/>
        </w:rPr>
        <w:t>lao động năm báo cáo</w:t>
      </w:r>
      <w:r w:rsidRPr="006545AD">
        <w:rPr>
          <w:rFonts w:ascii="Times New Roman" w:hAnsi="Times New Roman" w:cs="Times New Roman"/>
          <w:spacing w:val="4"/>
          <w:sz w:val="28"/>
          <w:szCs w:val="28"/>
          <w:lang w:val="nl-NL"/>
        </w:rPr>
        <w:t>.</w:t>
      </w:r>
    </w:p>
    <w:p w14:paraId="1D8B288B" w14:textId="77777777" w:rsidR="008851BE" w:rsidRPr="006545AD" w:rsidRDefault="008851BE" w:rsidP="008851BE">
      <w:pPr>
        <w:tabs>
          <w:tab w:val="left" w:pos="0"/>
          <w:tab w:val="left" w:pos="360"/>
          <w:tab w:val="left" w:pos="900"/>
        </w:tabs>
        <w:spacing w:before="120" w:after="120" w:line="240" w:lineRule="auto"/>
        <w:ind w:firstLine="709"/>
        <w:jc w:val="both"/>
        <w:rPr>
          <w:rFonts w:ascii="Times New Roman" w:hAnsi="Times New Roman" w:cs="Times New Roman"/>
          <w:sz w:val="28"/>
          <w:szCs w:val="28"/>
          <w:lang w:val="nl-NL"/>
        </w:rPr>
      </w:pPr>
      <w:r w:rsidRPr="006545AD">
        <w:rPr>
          <w:rFonts w:ascii="Times New Roman" w:hAnsi="Times New Roman" w:cs="Times New Roman"/>
          <w:sz w:val="28"/>
          <w:szCs w:val="28"/>
          <w:lang w:val="nl-NL"/>
        </w:rPr>
        <w:t>Công thức tính:</w:t>
      </w:r>
    </w:p>
    <w:tbl>
      <w:tblPr>
        <w:tblW w:w="0" w:type="auto"/>
        <w:jc w:val="center"/>
        <w:tblBorders>
          <w:insideH w:val="single" w:sz="4" w:space="0" w:color="auto"/>
        </w:tblBorders>
        <w:tblCellMar>
          <w:left w:w="28" w:type="dxa"/>
          <w:right w:w="28" w:type="dxa"/>
        </w:tblCellMar>
        <w:tblLook w:val="04A0" w:firstRow="1" w:lastRow="0" w:firstColumn="1" w:lastColumn="0" w:noHBand="0" w:noVBand="1"/>
      </w:tblPr>
      <w:tblGrid>
        <w:gridCol w:w="2300"/>
        <w:gridCol w:w="641"/>
        <w:gridCol w:w="3998"/>
        <w:gridCol w:w="1425"/>
      </w:tblGrid>
      <w:tr w:rsidR="008851BE" w:rsidRPr="006545AD" w14:paraId="7C852C2B" w14:textId="77777777" w:rsidTr="005725BC">
        <w:trPr>
          <w:jc w:val="center"/>
        </w:trPr>
        <w:tc>
          <w:tcPr>
            <w:tcW w:w="2300" w:type="dxa"/>
            <w:vMerge w:val="restart"/>
            <w:vAlign w:val="center"/>
          </w:tcPr>
          <w:p w14:paraId="7BF0DDF8" w14:textId="77777777" w:rsidR="008851BE" w:rsidRPr="006545AD" w:rsidRDefault="008851BE" w:rsidP="008851BE">
            <w:pPr>
              <w:spacing w:before="120" w:after="120" w:line="240" w:lineRule="auto"/>
              <w:jc w:val="center"/>
              <w:rPr>
                <w:rFonts w:ascii="Times New Roman" w:eastAsia="Calibri" w:hAnsi="Times New Roman" w:cs="Times New Roman"/>
                <w:sz w:val="28"/>
                <w:szCs w:val="28"/>
                <w:lang w:val="en-US"/>
              </w:rPr>
            </w:pPr>
            <w:r w:rsidRPr="006545AD">
              <w:rPr>
                <w:rFonts w:ascii="Times New Roman" w:eastAsia="Calibri" w:hAnsi="Times New Roman" w:cs="Times New Roman"/>
                <w:sz w:val="28"/>
                <w:szCs w:val="28"/>
                <w:lang w:val="en-US"/>
              </w:rPr>
              <w:t>Tỷ lệ người tham gia bảo hiểm thất nghiệp (%)</w:t>
            </w:r>
          </w:p>
        </w:tc>
        <w:tc>
          <w:tcPr>
            <w:tcW w:w="641" w:type="dxa"/>
            <w:vMerge w:val="restart"/>
            <w:vAlign w:val="center"/>
          </w:tcPr>
          <w:p w14:paraId="628069B4" w14:textId="77777777" w:rsidR="008851BE" w:rsidRPr="006545AD" w:rsidRDefault="008851BE" w:rsidP="008851BE">
            <w:pPr>
              <w:spacing w:before="120" w:after="120" w:line="240" w:lineRule="auto"/>
              <w:jc w:val="center"/>
              <w:rPr>
                <w:rFonts w:ascii="Times New Roman" w:eastAsia="Calibri" w:hAnsi="Times New Roman" w:cs="Times New Roman"/>
                <w:sz w:val="28"/>
                <w:szCs w:val="28"/>
                <w:lang w:val="en-US"/>
              </w:rPr>
            </w:pPr>
            <w:r w:rsidRPr="006545AD">
              <w:rPr>
                <w:rFonts w:ascii="Times New Roman" w:eastAsia="Calibri" w:hAnsi="Times New Roman" w:cs="Times New Roman"/>
                <w:sz w:val="28"/>
                <w:szCs w:val="28"/>
                <w:lang w:val="en-US"/>
              </w:rPr>
              <w:t>=</w:t>
            </w:r>
          </w:p>
        </w:tc>
        <w:tc>
          <w:tcPr>
            <w:tcW w:w="3998" w:type="dxa"/>
            <w:vAlign w:val="center"/>
          </w:tcPr>
          <w:p w14:paraId="73640CE8" w14:textId="77777777" w:rsidR="008851BE" w:rsidRPr="006545AD" w:rsidRDefault="008851BE" w:rsidP="008851BE">
            <w:pPr>
              <w:spacing w:before="120" w:after="120" w:line="240" w:lineRule="auto"/>
              <w:jc w:val="center"/>
              <w:rPr>
                <w:rFonts w:ascii="Times New Roman" w:eastAsia="Calibri" w:hAnsi="Times New Roman" w:cs="Times New Roman"/>
                <w:sz w:val="28"/>
                <w:szCs w:val="28"/>
                <w:lang w:val="en-US"/>
              </w:rPr>
            </w:pPr>
            <w:r w:rsidRPr="006545AD">
              <w:rPr>
                <w:rFonts w:ascii="Times New Roman" w:eastAsia="Calibri" w:hAnsi="Times New Roman" w:cs="Times New Roman"/>
                <w:sz w:val="28"/>
                <w:szCs w:val="28"/>
                <w:lang w:val="en-US"/>
              </w:rPr>
              <w:t>Số người tham gia bảo hiểm thất nghiệp năm báo cáo</w:t>
            </w:r>
          </w:p>
        </w:tc>
        <w:tc>
          <w:tcPr>
            <w:tcW w:w="1425" w:type="dxa"/>
            <w:vMerge w:val="restart"/>
            <w:vAlign w:val="center"/>
          </w:tcPr>
          <w:p w14:paraId="60501D69" w14:textId="3B36DC7D" w:rsidR="008851BE" w:rsidRPr="006545AD" w:rsidRDefault="00FE1510" w:rsidP="008851BE">
            <w:pPr>
              <w:spacing w:before="120" w:after="120" w:line="240" w:lineRule="auto"/>
              <w:jc w:val="center"/>
              <w:rPr>
                <w:rFonts w:ascii="Times New Roman" w:eastAsia="Calibri" w:hAnsi="Times New Roman" w:cs="Times New Roman"/>
                <w:sz w:val="28"/>
                <w:szCs w:val="28"/>
                <w:lang w:val="en-US"/>
              </w:rPr>
            </w:pPr>
            <w:r w:rsidRPr="006545AD">
              <w:rPr>
                <w:rFonts w:ascii="Times New Roman" w:eastAsia="Calibri" w:hAnsi="Times New Roman" w:cs="Times New Roman"/>
                <w:sz w:val="28"/>
                <w:szCs w:val="28"/>
                <w:lang w:val="vi-VN"/>
              </w:rPr>
              <w:t>x</w:t>
            </w:r>
            <w:r w:rsidR="008851BE" w:rsidRPr="006545AD">
              <w:rPr>
                <w:rFonts w:ascii="Times New Roman" w:eastAsia="Calibri" w:hAnsi="Times New Roman" w:cs="Times New Roman"/>
                <w:sz w:val="28"/>
                <w:szCs w:val="28"/>
                <w:lang w:val="en-US"/>
              </w:rPr>
              <w:t xml:space="preserve"> 100</w:t>
            </w:r>
          </w:p>
        </w:tc>
      </w:tr>
      <w:tr w:rsidR="008851BE" w:rsidRPr="006545AD" w14:paraId="3F89543E" w14:textId="77777777" w:rsidTr="005725BC">
        <w:trPr>
          <w:jc w:val="center"/>
        </w:trPr>
        <w:tc>
          <w:tcPr>
            <w:tcW w:w="2300" w:type="dxa"/>
            <w:vMerge/>
            <w:vAlign w:val="center"/>
          </w:tcPr>
          <w:p w14:paraId="1BFC6476" w14:textId="77777777" w:rsidR="008851BE" w:rsidRPr="006545AD" w:rsidRDefault="008851BE" w:rsidP="008851BE">
            <w:pPr>
              <w:spacing w:before="120" w:after="120" w:line="240" w:lineRule="auto"/>
              <w:jc w:val="center"/>
              <w:rPr>
                <w:rFonts w:ascii="Times New Roman" w:eastAsia="Calibri" w:hAnsi="Times New Roman" w:cs="Times New Roman"/>
                <w:sz w:val="28"/>
                <w:szCs w:val="28"/>
                <w:lang w:val="en-US"/>
              </w:rPr>
            </w:pPr>
          </w:p>
        </w:tc>
        <w:tc>
          <w:tcPr>
            <w:tcW w:w="641" w:type="dxa"/>
            <w:vMerge/>
            <w:vAlign w:val="center"/>
          </w:tcPr>
          <w:p w14:paraId="3CA6B9A4" w14:textId="77777777" w:rsidR="008851BE" w:rsidRPr="006545AD" w:rsidRDefault="008851BE" w:rsidP="008851BE">
            <w:pPr>
              <w:spacing w:before="120" w:after="120" w:line="240" w:lineRule="auto"/>
              <w:jc w:val="center"/>
              <w:rPr>
                <w:rFonts w:ascii="Times New Roman" w:eastAsia="Calibri" w:hAnsi="Times New Roman" w:cs="Times New Roman"/>
                <w:sz w:val="28"/>
                <w:szCs w:val="28"/>
                <w:lang w:val="en-US"/>
              </w:rPr>
            </w:pPr>
          </w:p>
        </w:tc>
        <w:tc>
          <w:tcPr>
            <w:tcW w:w="3998" w:type="dxa"/>
            <w:vAlign w:val="center"/>
          </w:tcPr>
          <w:p w14:paraId="632C99F3" w14:textId="77777777" w:rsidR="008851BE" w:rsidRPr="006545AD" w:rsidRDefault="008851BE" w:rsidP="008851BE">
            <w:pPr>
              <w:spacing w:before="120" w:after="120" w:line="240" w:lineRule="auto"/>
              <w:jc w:val="center"/>
              <w:rPr>
                <w:rFonts w:ascii="Times New Roman" w:eastAsia="Calibri" w:hAnsi="Times New Roman" w:cs="Times New Roman"/>
                <w:sz w:val="28"/>
                <w:szCs w:val="28"/>
                <w:lang w:val="en-US"/>
              </w:rPr>
            </w:pPr>
            <w:r w:rsidRPr="006545AD">
              <w:rPr>
                <w:rFonts w:ascii="Times New Roman" w:eastAsia="Calibri" w:hAnsi="Times New Roman" w:cs="Times New Roman"/>
                <w:sz w:val="28"/>
                <w:szCs w:val="28"/>
                <w:lang w:val="en-US"/>
              </w:rPr>
              <w:t>Lực lượng lao động trong độ tuổi lao động năm báo cáo</w:t>
            </w:r>
          </w:p>
        </w:tc>
        <w:tc>
          <w:tcPr>
            <w:tcW w:w="1425" w:type="dxa"/>
            <w:vMerge/>
            <w:vAlign w:val="center"/>
          </w:tcPr>
          <w:p w14:paraId="411AE328" w14:textId="77777777" w:rsidR="008851BE" w:rsidRPr="006545AD" w:rsidRDefault="008851BE" w:rsidP="008851BE">
            <w:pPr>
              <w:spacing w:before="120" w:after="120" w:line="240" w:lineRule="auto"/>
              <w:jc w:val="center"/>
              <w:rPr>
                <w:rFonts w:ascii="Times New Roman" w:eastAsia="Calibri" w:hAnsi="Times New Roman" w:cs="Times New Roman"/>
                <w:sz w:val="28"/>
                <w:szCs w:val="28"/>
                <w:lang w:val="en-US"/>
              </w:rPr>
            </w:pPr>
          </w:p>
        </w:tc>
      </w:tr>
    </w:tbl>
    <w:p w14:paraId="32EECA04" w14:textId="77777777" w:rsidR="00DE3597" w:rsidRPr="006545AD" w:rsidRDefault="00DE3597" w:rsidP="008851BE">
      <w:pPr>
        <w:tabs>
          <w:tab w:val="left" w:pos="0"/>
          <w:tab w:val="left" w:pos="360"/>
          <w:tab w:val="left" w:pos="900"/>
        </w:tabs>
        <w:spacing w:before="120" w:after="120" w:line="240" w:lineRule="auto"/>
        <w:ind w:firstLine="709"/>
        <w:jc w:val="both"/>
        <w:rPr>
          <w:rFonts w:ascii="Times New Roman" w:hAnsi="Times New Roman" w:cs="Times New Roman"/>
          <w:b/>
          <w:sz w:val="28"/>
          <w:szCs w:val="28"/>
          <w:lang w:val="nl-NL"/>
        </w:rPr>
      </w:pPr>
    </w:p>
    <w:p w14:paraId="53961651" w14:textId="77777777" w:rsidR="008851BE" w:rsidRPr="006545AD" w:rsidRDefault="008851BE" w:rsidP="008851BE">
      <w:pPr>
        <w:tabs>
          <w:tab w:val="left" w:pos="0"/>
          <w:tab w:val="left" w:pos="360"/>
          <w:tab w:val="left" w:pos="900"/>
        </w:tabs>
        <w:spacing w:before="120" w:after="120" w:line="240" w:lineRule="auto"/>
        <w:ind w:firstLine="709"/>
        <w:jc w:val="both"/>
        <w:rPr>
          <w:rFonts w:ascii="Times New Roman" w:hAnsi="Times New Roman" w:cs="Times New Roman"/>
          <w:b/>
          <w:sz w:val="28"/>
          <w:szCs w:val="28"/>
          <w:lang w:val="nl-NL"/>
        </w:rPr>
      </w:pPr>
      <w:r w:rsidRPr="006545AD">
        <w:rPr>
          <w:rFonts w:ascii="Times New Roman" w:hAnsi="Times New Roman" w:cs="Times New Roman"/>
          <w:b/>
          <w:sz w:val="28"/>
          <w:szCs w:val="28"/>
          <w:lang w:val="nl-NL"/>
        </w:rPr>
        <w:t>2. Phân tổ chủ yếu</w:t>
      </w:r>
    </w:p>
    <w:p w14:paraId="3FE2F199" w14:textId="77777777" w:rsidR="008851BE" w:rsidRPr="006545AD" w:rsidRDefault="008851BE" w:rsidP="008851BE">
      <w:pPr>
        <w:tabs>
          <w:tab w:val="left" w:pos="0"/>
          <w:tab w:val="left" w:pos="360"/>
          <w:tab w:val="left" w:pos="900"/>
        </w:tabs>
        <w:spacing w:before="120" w:after="120" w:line="240" w:lineRule="auto"/>
        <w:ind w:firstLine="709"/>
        <w:jc w:val="both"/>
        <w:rPr>
          <w:rFonts w:ascii="Times New Roman" w:hAnsi="Times New Roman" w:cs="Times New Roman"/>
          <w:sz w:val="28"/>
          <w:szCs w:val="28"/>
        </w:rPr>
      </w:pPr>
      <w:r w:rsidRPr="006545AD">
        <w:rPr>
          <w:rFonts w:ascii="Times New Roman" w:hAnsi="Times New Roman" w:cs="Times New Roman"/>
          <w:sz w:val="28"/>
          <w:szCs w:val="28"/>
        </w:rPr>
        <w:t>- Tỉnh, thành phố trực thuộc trung ương;</w:t>
      </w:r>
    </w:p>
    <w:p w14:paraId="005B6210" w14:textId="77777777" w:rsidR="008851BE" w:rsidRPr="006545AD" w:rsidRDefault="008851BE" w:rsidP="008851BE">
      <w:pPr>
        <w:spacing w:before="120" w:after="120" w:line="240" w:lineRule="auto"/>
        <w:ind w:firstLine="709"/>
        <w:jc w:val="both"/>
        <w:rPr>
          <w:rFonts w:ascii="Times New Roman" w:hAnsi="Times New Roman" w:cs="Times New Roman"/>
          <w:sz w:val="28"/>
          <w:szCs w:val="28"/>
        </w:rPr>
      </w:pPr>
      <w:r w:rsidRPr="006545AD">
        <w:rPr>
          <w:rFonts w:ascii="Times New Roman" w:hAnsi="Times New Roman" w:cs="Times New Roman"/>
          <w:sz w:val="28"/>
          <w:szCs w:val="28"/>
        </w:rPr>
        <w:t>- Vùng kinh tế - xã hội.</w:t>
      </w:r>
    </w:p>
    <w:p w14:paraId="4CCDAD5E" w14:textId="77777777" w:rsidR="008851BE" w:rsidRPr="006545AD" w:rsidRDefault="008851BE" w:rsidP="008851BE">
      <w:pPr>
        <w:spacing w:before="120" w:after="120" w:line="240" w:lineRule="auto"/>
        <w:ind w:firstLine="709"/>
        <w:jc w:val="both"/>
        <w:rPr>
          <w:rFonts w:ascii="Times New Roman" w:hAnsi="Times New Roman" w:cs="Times New Roman"/>
          <w:sz w:val="28"/>
          <w:szCs w:val="28"/>
          <w:lang w:val="nl-NL"/>
        </w:rPr>
      </w:pPr>
      <w:r w:rsidRPr="006545AD">
        <w:rPr>
          <w:rFonts w:ascii="Times New Roman" w:hAnsi="Times New Roman" w:cs="Times New Roman"/>
          <w:b/>
          <w:sz w:val="28"/>
          <w:szCs w:val="28"/>
          <w:lang w:val="nl-NL"/>
        </w:rPr>
        <w:t xml:space="preserve">3. Kỳ công bố: </w:t>
      </w:r>
      <w:r w:rsidRPr="006545AD">
        <w:rPr>
          <w:rFonts w:ascii="Times New Roman" w:hAnsi="Times New Roman" w:cs="Times New Roman"/>
          <w:sz w:val="28"/>
          <w:szCs w:val="28"/>
          <w:lang w:val="nl-NL"/>
        </w:rPr>
        <w:t>Năm.</w:t>
      </w:r>
    </w:p>
    <w:p w14:paraId="13296A56" w14:textId="77777777" w:rsidR="00B17E12" w:rsidRPr="006545AD" w:rsidRDefault="008851BE" w:rsidP="009B7606">
      <w:pPr>
        <w:tabs>
          <w:tab w:val="left" w:pos="0"/>
          <w:tab w:val="left" w:pos="360"/>
          <w:tab w:val="left" w:pos="900"/>
        </w:tabs>
        <w:spacing w:before="120" w:after="120" w:line="240" w:lineRule="auto"/>
        <w:ind w:firstLine="709"/>
        <w:jc w:val="both"/>
        <w:rPr>
          <w:rFonts w:ascii="Times New Roman" w:hAnsi="Times New Roman" w:cs="Times New Roman"/>
          <w:b/>
          <w:sz w:val="28"/>
          <w:szCs w:val="28"/>
          <w:lang w:val="nl-NL"/>
        </w:rPr>
      </w:pPr>
      <w:r w:rsidRPr="006545AD">
        <w:rPr>
          <w:rFonts w:ascii="Times New Roman" w:hAnsi="Times New Roman" w:cs="Times New Roman"/>
          <w:b/>
          <w:sz w:val="28"/>
          <w:szCs w:val="28"/>
          <w:lang w:val="nl-NL"/>
        </w:rPr>
        <w:t>4. Nguồn số liệu</w:t>
      </w:r>
    </w:p>
    <w:p w14:paraId="07988788" w14:textId="77777777" w:rsidR="00B17E12" w:rsidRPr="006545AD" w:rsidRDefault="00B17E12" w:rsidP="009B7606">
      <w:pPr>
        <w:tabs>
          <w:tab w:val="left" w:pos="0"/>
          <w:tab w:val="left" w:pos="360"/>
          <w:tab w:val="left" w:pos="900"/>
        </w:tabs>
        <w:spacing w:before="120" w:after="120" w:line="240" w:lineRule="auto"/>
        <w:ind w:firstLine="709"/>
        <w:jc w:val="both"/>
        <w:rPr>
          <w:rFonts w:ascii="Times New Roman" w:hAnsi="Times New Roman" w:cs="Times New Roman"/>
          <w:b/>
          <w:sz w:val="28"/>
          <w:szCs w:val="28"/>
          <w:lang w:val="nl-NL"/>
        </w:rPr>
      </w:pPr>
      <w:r w:rsidRPr="006545AD">
        <w:rPr>
          <w:rFonts w:ascii="Times New Roman" w:eastAsia="Calibri" w:hAnsi="Times New Roman" w:cs="Times New Roman"/>
          <w:b/>
          <w:sz w:val="28"/>
          <w:szCs w:val="28"/>
          <w:lang w:val="nl-NL"/>
        </w:rPr>
        <w:t xml:space="preserve">- </w:t>
      </w:r>
      <w:r w:rsidRPr="006545AD">
        <w:rPr>
          <w:rFonts w:ascii="Times New Roman" w:eastAsia="Calibri" w:hAnsi="Times New Roman" w:cs="Times New Roman"/>
          <w:sz w:val="28"/>
          <w:szCs w:val="28"/>
          <w:lang w:val="en-US"/>
        </w:rPr>
        <w:t>Số người tham gia bảo hiểm thất nghiệp: Chế độ báo cáo thống kê cấp quốc gia;</w:t>
      </w:r>
    </w:p>
    <w:p w14:paraId="1F792C53" w14:textId="42B57DCD" w:rsidR="00B17E12" w:rsidRPr="006545AD" w:rsidRDefault="00B17E12" w:rsidP="009B7606">
      <w:pPr>
        <w:tabs>
          <w:tab w:val="left" w:pos="0"/>
          <w:tab w:val="left" w:pos="360"/>
          <w:tab w:val="left" w:pos="900"/>
        </w:tabs>
        <w:spacing w:before="120" w:after="120" w:line="240" w:lineRule="auto"/>
        <w:ind w:firstLine="709"/>
        <w:jc w:val="both"/>
        <w:rPr>
          <w:rFonts w:ascii="Times New Roman" w:hAnsi="Times New Roman" w:cs="Times New Roman"/>
          <w:b/>
          <w:sz w:val="28"/>
          <w:szCs w:val="28"/>
          <w:lang w:val="nl-NL"/>
        </w:rPr>
      </w:pPr>
      <w:r w:rsidRPr="006545AD">
        <w:rPr>
          <w:rFonts w:ascii="Times New Roman" w:eastAsia="Calibri" w:hAnsi="Times New Roman" w:cs="Times New Roman"/>
          <w:sz w:val="28"/>
          <w:szCs w:val="28"/>
          <w:lang w:val="en-US"/>
        </w:rPr>
        <w:t xml:space="preserve">- Lực lượng lao động trong độ tuổi lao động: Như nguồn số liệu của chỉ tiêu “0201. </w:t>
      </w:r>
      <w:r w:rsidRPr="006545AD">
        <w:rPr>
          <w:rFonts w:ascii="Times New Roman" w:eastAsia="Calibri" w:hAnsi="Times New Roman" w:cs="Times New Roman"/>
          <w:color w:val="000000"/>
          <w:sz w:val="28"/>
          <w:szCs w:val="28"/>
          <w:lang w:val="en-US"/>
        </w:rPr>
        <w:t>Lực lượng lao động”</w:t>
      </w:r>
      <w:r w:rsidR="00A15E8E" w:rsidRPr="006545AD">
        <w:rPr>
          <w:rFonts w:ascii="Times New Roman" w:eastAsia="Calibri" w:hAnsi="Times New Roman" w:cs="Times New Roman"/>
          <w:color w:val="000000"/>
          <w:sz w:val="28"/>
          <w:szCs w:val="28"/>
          <w:lang w:val="en-US"/>
        </w:rPr>
        <w:t xml:space="preserve"> </w:t>
      </w:r>
      <w:r w:rsidR="00A15E8E" w:rsidRPr="006545AD">
        <w:rPr>
          <w:rFonts w:ascii="Times New Roman" w:eastAsia="Times New Roman" w:hAnsi="Times New Roman" w:cs="Times New Roman"/>
          <w:sz w:val="28"/>
          <w:szCs w:val="28"/>
          <w:lang w:val="en-US"/>
        </w:rPr>
        <w:t>trong Hệ thống chỉ tiêu thống kê quốc gia.</w:t>
      </w:r>
    </w:p>
    <w:p w14:paraId="21E1C7DA" w14:textId="77777777" w:rsidR="00B17E12" w:rsidRPr="006545AD" w:rsidRDefault="00B17E12" w:rsidP="009B7606">
      <w:pPr>
        <w:spacing w:before="60" w:after="60" w:line="360" w:lineRule="exact"/>
        <w:jc w:val="both"/>
        <w:rPr>
          <w:rFonts w:ascii="Times New Roman" w:hAnsi="Times New Roman" w:cs="Times New Roman"/>
          <w:b/>
          <w:sz w:val="28"/>
          <w:szCs w:val="28"/>
          <w:lang w:val="nl-NL"/>
        </w:rPr>
      </w:pPr>
      <w:r w:rsidRPr="006545AD">
        <w:rPr>
          <w:rFonts w:ascii="Times New Roman" w:hAnsi="Times New Roman" w:cs="Times New Roman"/>
          <w:b/>
          <w:sz w:val="28"/>
          <w:szCs w:val="28"/>
          <w:lang w:val="nl-NL"/>
        </w:rPr>
        <w:tab/>
      </w:r>
      <w:r w:rsidR="008851BE" w:rsidRPr="006545AD">
        <w:rPr>
          <w:rFonts w:ascii="Times New Roman" w:hAnsi="Times New Roman" w:cs="Times New Roman"/>
          <w:b/>
          <w:sz w:val="28"/>
          <w:szCs w:val="28"/>
          <w:lang w:val="nl-NL"/>
        </w:rPr>
        <w:t xml:space="preserve">5. Cơ quan chịu trách nhiệm thu thập, tổng hợp </w:t>
      </w:r>
    </w:p>
    <w:p w14:paraId="59EFCCBC" w14:textId="77777777" w:rsidR="00B17E12" w:rsidRPr="006545AD" w:rsidRDefault="00B17E12" w:rsidP="009B7606">
      <w:pPr>
        <w:spacing w:before="60" w:after="60" w:line="360" w:lineRule="exact"/>
        <w:jc w:val="both"/>
        <w:rPr>
          <w:rFonts w:ascii="Times New Roman" w:hAnsi="Times New Roman" w:cs="Times New Roman"/>
          <w:b/>
          <w:sz w:val="28"/>
          <w:szCs w:val="28"/>
          <w:lang w:val="nl-NL"/>
        </w:rPr>
      </w:pPr>
      <w:r w:rsidRPr="006545AD">
        <w:rPr>
          <w:rFonts w:ascii="Times New Roman" w:hAnsi="Times New Roman" w:cs="Times New Roman"/>
          <w:b/>
          <w:sz w:val="28"/>
          <w:szCs w:val="28"/>
          <w:lang w:val="nl-NL"/>
        </w:rPr>
        <w:tab/>
      </w:r>
      <w:r w:rsidRPr="006545AD">
        <w:rPr>
          <w:rFonts w:ascii="Times New Roman" w:eastAsia="Calibri" w:hAnsi="Times New Roman" w:cs="Times New Roman"/>
          <w:sz w:val="28"/>
          <w:szCs w:val="28"/>
          <w:lang w:val="nl-NL"/>
        </w:rPr>
        <w:t>- Chủ trì: Bộ Kế hoạch và Đầu tư (Tổng cục Thống kê).</w:t>
      </w:r>
    </w:p>
    <w:p w14:paraId="01BE1577" w14:textId="0767B9F3" w:rsidR="008851BE" w:rsidRPr="006545AD" w:rsidRDefault="00B17E12" w:rsidP="009E1776">
      <w:pPr>
        <w:spacing w:before="60" w:after="60" w:line="360" w:lineRule="exact"/>
        <w:jc w:val="both"/>
        <w:rPr>
          <w:rFonts w:ascii="Times New Roman" w:eastAsia="Times New Roman" w:hAnsi="Times New Roman" w:cs="Times New Roman"/>
          <w:b/>
          <w:sz w:val="28"/>
          <w:szCs w:val="28"/>
        </w:rPr>
      </w:pPr>
      <w:r w:rsidRPr="006545AD">
        <w:rPr>
          <w:rFonts w:ascii="Times New Roman" w:hAnsi="Times New Roman" w:cs="Times New Roman"/>
          <w:b/>
          <w:sz w:val="28"/>
          <w:szCs w:val="28"/>
          <w:lang w:val="nl-NL"/>
        </w:rPr>
        <w:tab/>
      </w:r>
      <w:r w:rsidRPr="006545AD">
        <w:rPr>
          <w:rFonts w:ascii="Times New Roman" w:eastAsia="Calibri" w:hAnsi="Times New Roman" w:cs="Times New Roman"/>
          <w:sz w:val="28"/>
          <w:szCs w:val="28"/>
          <w:lang w:val="nl-NL"/>
        </w:rPr>
        <w:t>- Phối hợp: Bộ Lao động - Thương binh và Xã hội; Bảo hiểm xã hội Việt Nam (cung cấp số liệu về số người tham gia bảo hiểm thất nghiệp).</w:t>
      </w:r>
    </w:p>
    <w:p w14:paraId="1F0F2CFB" w14:textId="52129D97" w:rsidR="008851BE" w:rsidRPr="006545AD" w:rsidRDefault="005B04E9" w:rsidP="005725BC">
      <w:pPr>
        <w:spacing w:before="120"/>
        <w:rPr>
          <w:rFonts w:ascii="Times New Roman" w:hAnsi="Times New Roman" w:cs="Times New Roman"/>
          <w:b/>
          <w:sz w:val="28"/>
          <w:szCs w:val="28"/>
        </w:rPr>
      </w:pPr>
      <w:r w:rsidRPr="006545AD">
        <w:rPr>
          <w:rFonts w:ascii="Times New Roman" w:eastAsia="Times New Roman" w:hAnsi="Times New Roman" w:cs="Times New Roman"/>
          <w:b/>
          <w:sz w:val="28"/>
          <w:szCs w:val="28"/>
        </w:rPr>
        <w:tab/>
      </w:r>
      <w:r w:rsidR="008851BE" w:rsidRPr="006545AD">
        <w:rPr>
          <w:rFonts w:ascii="Times New Roman" w:eastAsia="Times New Roman" w:hAnsi="Times New Roman" w:cs="Times New Roman"/>
          <w:b/>
          <w:sz w:val="28"/>
          <w:szCs w:val="28"/>
        </w:rPr>
        <w:t>4.1</w:t>
      </w:r>
      <w:r w:rsidR="009A51F4" w:rsidRPr="006545AD">
        <w:rPr>
          <w:rFonts w:ascii="Times New Roman" w:eastAsia="Times New Roman" w:hAnsi="Times New Roman" w:cs="Times New Roman"/>
          <w:b/>
          <w:sz w:val="28"/>
          <w:szCs w:val="28"/>
        </w:rPr>
        <w:t>2</w:t>
      </w:r>
      <w:r w:rsidR="008851BE" w:rsidRPr="006545AD">
        <w:rPr>
          <w:rFonts w:ascii="Times New Roman" w:eastAsia="Times New Roman" w:hAnsi="Times New Roman" w:cs="Times New Roman"/>
          <w:b/>
          <w:sz w:val="28"/>
          <w:szCs w:val="28"/>
        </w:rPr>
        <w:t xml:space="preserve">. </w:t>
      </w:r>
      <w:r w:rsidR="008851BE" w:rsidRPr="006545AD">
        <w:rPr>
          <w:rFonts w:ascii="Times New Roman" w:hAnsi="Times New Roman" w:cs="Times New Roman"/>
          <w:b/>
          <w:sz w:val="28"/>
          <w:szCs w:val="28"/>
        </w:rPr>
        <w:t xml:space="preserve">Tổng chiều dài các tuyến đê </w:t>
      </w:r>
    </w:p>
    <w:p w14:paraId="243D4D69" w14:textId="77777777" w:rsidR="008851BE" w:rsidRPr="006545AD" w:rsidRDefault="008851BE" w:rsidP="008851BE">
      <w:pPr>
        <w:rPr>
          <w:rFonts w:ascii="Times New Roman" w:hAnsi="Times New Roman" w:cs="Times New Roman"/>
          <w:b/>
          <w:sz w:val="28"/>
          <w:szCs w:val="28"/>
        </w:rPr>
      </w:pPr>
      <w:r w:rsidRPr="006545AD">
        <w:rPr>
          <w:rFonts w:ascii="Times New Roman" w:eastAsia="Times New Roman" w:hAnsi="Times New Roman" w:cs="Times New Roman"/>
          <w:b/>
          <w:sz w:val="28"/>
          <w:szCs w:val="28"/>
        </w:rPr>
        <w:tab/>
        <w:t xml:space="preserve">1. </w:t>
      </w:r>
      <w:r w:rsidRPr="006545AD">
        <w:rPr>
          <w:rFonts w:ascii="Times New Roman" w:eastAsia="Times New Roman" w:hAnsi="Times New Roman" w:cs="Times New Roman"/>
          <w:b/>
          <w:sz w:val="28"/>
          <w:szCs w:val="28"/>
          <w:lang w:val="en-US"/>
        </w:rPr>
        <w:t xml:space="preserve">Khái niệm và phương pháp tính </w:t>
      </w:r>
    </w:p>
    <w:p w14:paraId="5ECF7FC6" w14:textId="77777777" w:rsidR="008851BE" w:rsidRPr="006545AD" w:rsidRDefault="008851BE" w:rsidP="008851BE">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b/>
          <w:sz w:val="28"/>
          <w:szCs w:val="28"/>
          <w:lang w:val="en-US"/>
        </w:rPr>
        <w:tab/>
      </w:r>
      <w:r w:rsidRPr="006545AD">
        <w:rPr>
          <w:rFonts w:ascii="Times New Roman" w:eastAsia="Times New Roman" w:hAnsi="Times New Roman" w:cs="Times New Roman"/>
          <w:sz w:val="28"/>
          <w:szCs w:val="28"/>
          <w:lang w:val="en-US"/>
        </w:rPr>
        <w:t xml:space="preserve">Đê là công trình ngăn nước lũ của sông hoặc ngăn nước biển, được cơ quan Nhà nước có thẩm quyền phân loại, phân cấp theo quy định của pháp luật. Đê sông là đê ngăn nước lũ của sông. Đê biển là đê ngăn nước biển. </w:t>
      </w:r>
    </w:p>
    <w:p w14:paraId="5965A578" w14:textId="77777777" w:rsidR="008851BE" w:rsidRPr="006545AD" w:rsidRDefault="008851BE"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xml:space="preserve">Phương pháp tính: Thống kê cộng dồn chiều dài các tuyến đê hiện có trên địa bàn tại thời điểm báo cáo. </w:t>
      </w:r>
    </w:p>
    <w:p w14:paraId="2B89E4EE" w14:textId="77777777" w:rsidR="008851BE" w:rsidRPr="006545AD" w:rsidRDefault="008851BE" w:rsidP="00962F16">
      <w:pPr>
        <w:spacing w:before="60" w:after="60" w:line="360" w:lineRule="exact"/>
        <w:jc w:val="both"/>
        <w:rPr>
          <w:rFonts w:ascii="Times New Roman" w:eastAsia="Times New Roman" w:hAnsi="Times New Roman" w:cs="Times New Roman"/>
          <w:b/>
          <w:sz w:val="28"/>
          <w:szCs w:val="28"/>
          <w:lang w:val="en-US"/>
        </w:rPr>
      </w:pPr>
      <w:r w:rsidRPr="006545AD">
        <w:rPr>
          <w:rFonts w:ascii="Times New Roman" w:eastAsia="Times New Roman" w:hAnsi="Times New Roman" w:cs="Times New Roman"/>
          <w:b/>
          <w:sz w:val="28"/>
          <w:szCs w:val="28"/>
          <w:lang w:val="en-US"/>
        </w:rPr>
        <w:tab/>
        <w:t>2. Phân tổ chủ yếu:</w:t>
      </w:r>
    </w:p>
    <w:p w14:paraId="64204D5C" w14:textId="77777777" w:rsidR="008851BE" w:rsidRPr="006545AD" w:rsidRDefault="008851BE"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b/>
          <w:sz w:val="28"/>
          <w:szCs w:val="28"/>
          <w:lang w:val="en-US"/>
        </w:rPr>
        <w:tab/>
      </w:r>
      <w:r w:rsidRPr="006545AD">
        <w:rPr>
          <w:rFonts w:ascii="Times New Roman" w:eastAsia="Times New Roman" w:hAnsi="Times New Roman" w:cs="Times New Roman"/>
          <w:sz w:val="28"/>
          <w:szCs w:val="28"/>
          <w:lang w:val="en-US"/>
        </w:rPr>
        <w:t xml:space="preserve">- Loại đê; </w:t>
      </w:r>
    </w:p>
    <w:p w14:paraId="4644A687" w14:textId="77777777" w:rsidR="008851BE" w:rsidRPr="006545AD" w:rsidRDefault="008851BE"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Cấp đê;</w:t>
      </w:r>
    </w:p>
    <w:p w14:paraId="52B5564B" w14:textId="77777777" w:rsidR="008851BE" w:rsidRPr="006545AD" w:rsidRDefault="008851BE"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Tỉnh, thành phố trực thuộc Trung ương</w:t>
      </w:r>
    </w:p>
    <w:p w14:paraId="11BC5F81" w14:textId="77777777" w:rsidR="008851BE" w:rsidRPr="006545AD" w:rsidRDefault="008851BE"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b/>
          <w:sz w:val="28"/>
          <w:szCs w:val="28"/>
          <w:lang w:val="en-US"/>
        </w:rPr>
        <w:tab/>
        <w:t xml:space="preserve">3. Kỳ công bố: </w:t>
      </w:r>
      <w:r w:rsidRPr="006545AD">
        <w:rPr>
          <w:rFonts w:ascii="Times New Roman" w:eastAsia="Times New Roman" w:hAnsi="Times New Roman" w:cs="Times New Roman"/>
          <w:sz w:val="28"/>
          <w:szCs w:val="28"/>
          <w:lang w:val="en-US"/>
        </w:rPr>
        <w:t xml:space="preserve">Năm. </w:t>
      </w:r>
    </w:p>
    <w:p w14:paraId="02A88CB1" w14:textId="77777777" w:rsidR="008851BE" w:rsidRPr="006545AD" w:rsidRDefault="008851BE" w:rsidP="00962F16">
      <w:pPr>
        <w:spacing w:before="60" w:after="60" w:line="360" w:lineRule="exact"/>
        <w:jc w:val="both"/>
        <w:rPr>
          <w:rFonts w:ascii="Times New Roman" w:eastAsia="Times New Roman" w:hAnsi="Times New Roman" w:cs="Times New Roman"/>
          <w:b/>
          <w:sz w:val="28"/>
          <w:szCs w:val="28"/>
          <w:lang w:val="en-US"/>
        </w:rPr>
      </w:pPr>
      <w:r w:rsidRPr="006545AD">
        <w:rPr>
          <w:rFonts w:ascii="Times New Roman" w:eastAsia="Times New Roman" w:hAnsi="Times New Roman" w:cs="Times New Roman"/>
          <w:b/>
          <w:sz w:val="28"/>
          <w:szCs w:val="28"/>
          <w:lang w:val="en-US"/>
        </w:rPr>
        <w:lastRenderedPageBreak/>
        <w:tab/>
        <w:t xml:space="preserve">4. Nguồn số liệu: </w:t>
      </w:r>
    </w:p>
    <w:p w14:paraId="172A17F4" w14:textId="77777777" w:rsidR="008851BE" w:rsidRPr="006545AD" w:rsidRDefault="008851BE"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b/>
          <w:sz w:val="28"/>
          <w:szCs w:val="28"/>
          <w:lang w:val="en-US"/>
        </w:rPr>
        <w:tab/>
      </w:r>
      <w:r w:rsidRPr="006545AD">
        <w:rPr>
          <w:rFonts w:ascii="Times New Roman" w:eastAsia="Times New Roman" w:hAnsi="Times New Roman" w:cs="Times New Roman"/>
          <w:sz w:val="28"/>
          <w:szCs w:val="28"/>
          <w:lang w:val="en-US"/>
        </w:rPr>
        <w:t xml:space="preserve">- Chế độ báo cáo thống kê ngành nông nghiệp và phát triển nông thôn. </w:t>
      </w:r>
    </w:p>
    <w:p w14:paraId="2A068423" w14:textId="77777777" w:rsidR="008D2BAD" w:rsidRPr="006545AD" w:rsidRDefault="008851BE" w:rsidP="00962F16">
      <w:pPr>
        <w:spacing w:before="60" w:after="60" w:line="360" w:lineRule="exact"/>
        <w:jc w:val="both"/>
        <w:rPr>
          <w:rFonts w:ascii="Times New Roman" w:eastAsia="Times New Roman" w:hAnsi="Times New Roman" w:cs="Times New Roman"/>
          <w:b/>
          <w:sz w:val="28"/>
          <w:szCs w:val="28"/>
          <w:lang w:val="en-US"/>
        </w:rPr>
      </w:pPr>
      <w:r w:rsidRPr="006545AD">
        <w:rPr>
          <w:rFonts w:ascii="Times New Roman" w:eastAsia="Times New Roman" w:hAnsi="Times New Roman" w:cs="Times New Roman"/>
          <w:b/>
          <w:sz w:val="28"/>
          <w:szCs w:val="28"/>
          <w:lang w:val="en-US"/>
        </w:rPr>
        <w:tab/>
        <w:t xml:space="preserve">5. Cơ quan chịu trách nhiệm thu thập, tổng hợp: </w:t>
      </w:r>
    </w:p>
    <w:p w14:paraId="44E5A137" w14:textId="18499AFA" w:rsidR="008851BE" w:rsidRPr="006545AD" w:rsidRDefault="008D2BAD"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b/>
          <w:sz w:val="28"/>
          <w:szCs w:val="28"/>
          <w:lang w:val="en-US"/>
        </w:rPr>
        <w:tab/>
      </w:r>
      <w:r w:rsidRPr="006545AD">
        <w:rPr>
          <w:rFonts w:ascii="Times New Roman" w:eastAsia="Times New Roman" w:hAnsi="Times New Roman" w:cs="Times New Roman"/>
          <w:sz w:val="28"/>
          <w:szCs w:val="28"/>
          <w:lang w:val="en-US"/>
        </w:rPr>
        <w:t xml:space="preserve">- Chủ trì: </w:t>
      </w:r>
      <w:r w:rsidR="008851BE" w:rsidRPr="006545AD">
        <w:rPr>
          <w:rFonts w:ascii="Times New Roman" w:eastAsia="Times New Roman" w:hAnsi="Times New Roman" w:cs="Times New Roman"/>
          <w:sz w:val="28"/>
          <w:szCs w:val="28"/>
          <w:lang w:val="en-US"/>
        </w:rPr>
        <w:t>Bộ Nông nghiệp và Phát triển nông thôn.</w:t>
      </w:r>
    </w:p>
    <w:p w14:paraId="5ACB38B1" w14:textId="778F8DAE" w:rsidR="008D2BAD" w:rsidRPr="006545AD" w:rsidRDefault="008D2BAD" w:rsidP="00962F16">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Phối hợp: Ủy ban nhân dân tỉnh, thành phố trực thuộc Trung ương</w:t>
      </w:r>
      <w:r w:rsidR="00556FC2" w:rsidRPr="006545AD">
        <w:rPr>
          <w:rFonts w:ascii="Times New Roman" w:eastAsia="Times New Roman" w:hAnsi="Times New Roman" w:cs="Times New Roman"/>
          <w:sz w:val="28"/>
          <w:szCs w:val="28"/>
          <w:lang w:val="en-US"/>
        </w:rPr>
        <w:t>.</w:t>
      </w:r>
    </w:p>
    <w:p w14:paraId="09AC26B7" w14:textId="5EE5C906" w:rsidR="00893D92" w:rsidRPr="006545AD" w:rsidRDefault="00893D92" w:rsidP="005725BC">
      <w:pPr>
        <w:spacing w:before="60" w:after="60" w:line="360" w:lineRule="exact"/>
        <w:ind w:firstLine="36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lang w:val="en-US"/>
        </w:rPr>
        <w:tab/>
      </w:r>
      <w:r w:rsidR="009A51F4" w:rsidRPr="006545AD">
        <w:rPr>
          <w:rFonts w:ascii="Times New Roman" w:eastAsia="Times New Roman" w:hAnsi="Times New Roman" w:cs="Times New Roman"/>
          <w:b/>
          <w:sz w:val="28"/>
          <w:szCs w:val="28"/>
        </w:rPr>
        <w:t>4.13</w:t>
      </w:r>
      <w:r w:rsidRPr="006545AD">
        <w:rPr>
          <w:rFonts w:ascii="Times New Roman" w:eastAsia="Times New Roman" w:hAnsi="Times New Roman" w:cs="Times New Roman"/>
          <w:b/>
          <w:sz w:val="28"/>
          <w:szCs w:val="28"/>
        </w:rPr>
        <w:t>. Số công trình xây dựng kè phòng, chống sạt lở bờ sông, bờ biển</w:t>
      </w:r>
    </w:p>
    <w:p w14:paraId="6CE4198C" w14:textId="77777777" w:rsidR="00893D92" w:rsidRPr="006545AD" w:rsidRDefault="00893D92" w:rsidP="005725BC">
      <w:pPr>
        <w:spacing w:before="60" w:after="60" w:line="360" w:lineRule="exact"/>
        <w:ind w:firstLine="36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và phương pháp tính</w:t>
      </w:r>
    </w:p>
    <w:p w14:paraId="52904940" w14:textId="14DC4128" w:rsidR="00893D92" w:rsidRPr="006545AD" w:rsidRDefault="00893D92" w:rsidP="005725BC">
      <w:pPr>
        <w:spacing w:before="60" w:after="60" w:line="360" w:lineRule="exact"/>
        <w:ind w:firstLine="36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Pr="006545AD">
        <w:rPr>
          <w:rFonts w:ascii="Times New Roman" w:eastAsia="Times New Roman" w:hAnsi="Times New Roman" w:cs="Times New Roman"/>
          <w:sz w:val="28"/>
          <w:szCs w:val="28"/>
        </w:rPr>
        <w:t xml:space="preserve">Khái niệm: </w:t>
      </w:r>
      <w:r w:rsidRPr="006545AD">
        <w:rPr>
          <w:rFonts w:ascii="Times New Roman" w:hAnsi="Times New Roman" w:cs="Times New Roman"/>
          <w:sz w:val="28"/>
          <w:szCs w:val="28"/>
        </w:rPr>
        <w:t>Kè phòng, chống sạt lở bờ sông, bờ biển là dạng công trình bảo vệ bờ sông, bờ biển khỏi tác động xói lở gây ra bởi dòng chảy và s</w:t>
      </w:r>
      <w:r w:rsidR="001018C5" w:rsidRPr="006545AD">
        <w:rPr>
          <w:rFonts w:ascii="Times New Roman" w:hAnsi="Times New Roman" w:cs="Times New Roman"/>
          <w:sz w:val="28"/>
          <w:szCs w:val="28"/>
        </w:rPr>
        <w:t>ông</w:t>
      </w:r>
      <w:r w:rsidRPr="006545AD">
        <w:rPr>
          <w:rFonts w:ascii="Times New Roman" w:hAnsi="Times New Roman" w:cs="Times New Roman"/>
          <w:sz w:val="28"/>
          <w:szCs w:val="28"/>
        </w:rPr>
        <w:t>.</w:t>
      </w:r>
    </w:p>
    <w:p w14:paraId="22627E93" w14:textId="055530D5" w:rsidR="00893D92" w:rsidRPr="006545AD" w:rsidRDefault="00BB21B6" w:rsidP="005725BC">
      <w:pPr>
        <w:spacing w:before="60" w:after="60" w:line="360" w:lineRule="exact"/>
        <w:ind w:firstLine="360"/>
        <w:jc w:val="both"/>
        <w:rPr>
          <w:rFonts w:ascii="Times New Roman" w:hAnsi="Times New Roman" w:cs="Times New Roman"/>
          <w:sz w:val="28"/>
          <w:szCs w:val="28"/>
        </w:rPr>
      </w:pPr>
      <w:r>
        <w:rPr>
          <w:rFonts w:ascii="Times New Roman" w:hAnsi="Times New Roman" w:cs="Times New Roman"/>
          <w:sz w:val="28"/>
          <w:szCs w:val="28"/>
        </w:rPr>
        <w:tab/>
      </w:r>
      <w:r w:rsidR="00893D92" w:rsidRPr="006545AD">
        <w:rPr>
          <w:rFonts w:ascii="Times New Roman" w:hAnsi="Times New Roman" w:cs="Times New Roman"/>
          <w:sz w:val="28"/>
          <w:szCs w:val="28"/>
        </w:rPr>
        <w:t>Phương pháp tính: Thống kê cộng dồn số công trình xây dựng kè phòng, chống sạt lở bờ sông, bờ biển hiện có trên địa bàn tại thời điểm báo cáo.</w:t>
      </w:r>
    </w:p>
    <w:p w14:paraId="1AAF598D" w14:textId="5A637FA3" w:rsidR="00893D92" w:rsidRPr="006545AD" w:rsidRDefault="00893D92" w:rsidP="005725BC">
      <w:pPr>
        <w:spacing w:before="60" w:after="60" w:line="360" w:lineRule="exact"/>
        <w:ind w:firstLine="360"/>
        <w:jc w:val="both"/>
        <w:rPr>
          <w:rFonts w:ascii="Times New Roman" w:hAnsi="Times New Roman" w:cs="Times New Roman"/>
          <w:b/>
          <w:sz w:val="28"/>
          <w:szCs w:val="28"/>
        </w:rPr>
      </w:pPr>
      <w:r w:rsidRPr="006545AD">
        <w:rPr>
          <w:rFonts w:ascii="Times New Roman" w:hAnsi="Times New Roman" w:cs="Times New Roman"/>
          <w:sz w:val="28"/>
          <w:szCs w:val="28"/>
        </w:rPr>
        <w:tab/>
      </w:r>
      <w:r w:rsidRPr="006545AD">
        <w:rPr>
          <w:rFonts w:ascii="Times New Roman" w:hAnsi="Times New Roman" w:cs="Times New Roman"/>
          <w:b/>
          <w:sz w:val="28"/>
          <w:szCs w:val="28"/>
        </w:rPr>
        <w:t>2. Phân tổ chủ yếu</w:t>
      </w:r>
    </w:p>
    <w:p w14:paraId="540B37B6" w14:textId="5025C993" w:rsidR="00893D92" w:rsidRPr="006545AD" w:rsidRDefault="00893D92" w:rsidP="005725BC">
      <w:pPr>
        <w:spacing w:before="60" w:after="6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t>- Loại kè;</w:t>
      </w:r>
    </w:p>
    <w:p w14:paraId="4D651184" w14:textId="54B2EC16" w:rsidR="00893D92" w:rsidRPr="006545AD" w:rsidRDefault="00893D92" w:rsidP="005725BC">
      <w:pPr>
        <w:spacing w:before="60" w:after="6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t>- Tỉnh, thành phố trực thuộc Trung ương</w:t>
      </w:r>
    </w:p>
    <w:p w14:paraId="395DCAF9" w14:textId="36247538" w:rsidR="00893D92" w:rsidRPr="006545AD" w:rsidRDefault="00893D92" w:rsidP="005725BC">
      <w:pPr>
        <w:spacing w:before="60" w:after="60" w:line="360" w:lineRule="exact"/>
        <w:jc w:val="both"/>
        <w:rPr>
          <w:rFonts w:ascii="Times New Roman" w:hAnsi="Times New Roman" w:cs="Times New Roman"/>
          <w:sz w:val="28"/>
          <w:szCs w:val="28"/>
        </w:rPr>
      </w:pPr>
      <w:r w:rsidRPr="006545AD">
        <w:rPr>
          <w:rFonts w:ascii="Times New Roman" w:hAnsi="Times New Roman" w:cs="Times New Roman"/>
          <w:sz w:val="28"/>
          <w:szCs w:val="28"/>
        </w:rPr>
        <w:t xml:space="preserve">     </w:t>
      </w:r>
      <w:r w:rsidRPr="006545AD">
        <w:rPr>
          <w:rFonts w:ascii="Times New Roman" w:hAnsi="Times New Roman" w:cs="Times New Roman"/>
          <w:sz w:val="28"/>
          <w:szCs w:val="28"/>
        </w:rPr>
        <w:tab/>
      </w:r>
      <w:r w:rsidRPr="006545AD">
        <w:rPr>
          <w:rFonts w:ascii="Times New Roman" w:hAnsi="Times New Roman" w:cs="Times New Roman"/>
          <w:b/>
          <w:sz w:val="28"/>
          <w:szCs w:val="28"/>
        </w:rPr>
        <w:t>3. Kỳ công bố:</w:t>
      </w:r>
      <w:r w:rsidRPr="006545AD">
        <w:rPr>
          <w:rFonts w:ascii="Times New Roman" w:hAnsi="Times New Roman" w:cs="Times New Roman"/>
          <w:sz w:val="28"/>
          <w:szCs w:val="28"/>
        </w:rPr>
        <w:t xml:space="preserve"> Năm.</w:t>
      </w:r>
    </w:p>
    <w:p w14:paraId="5E407A03" w14:textId="7CC9B7F7" w:rsidR="00893D92" w:rsidRPr="006545AD" w:rsidRDefault="00893D92" w:rsidP="005725BC">
      <w:pPr>
        <w:spacing w:before="60" w:after="60" w:line="360" w:lineRule="exact"/>
        <w:jc w:val="both"/>
        <w:rPr>
          <w:rFonts w:ascii="Times New Roman" w:hAnsi="Times New Roman" w:cs="Times New Roman"/>
          <w:b/>
          <w:sz w:val="28"/>
          <w:szCs w:val="28"/>
        </w:rPr>
      </w:pPr>
      <w:r w:rsidRPr="006545AD">
        <w:rPr>
          <w:rFonts w:ascii="Times New Roman" w:hAnsi="Times New Roman" w:cs="Times New Roman"/>
          <w:sz w:val="28"/>
          <w:szCs w:val="28"/>
        </w:rPr>
        <w:t xml:space="preserve">   </w:t>
      </w:r>
      <w:r w:rsidRPr="006545AD">
        <w:rPr>
          <w:rFonts w:ascii="Times New Roman" w:hAnsi="Times New Roman" w:cs="Times New Roman"/>
          <w:sz w:val="28"/>
          <w:szCs w:val="28"/>
        </w:rPr>
        <w:tab/>
      </w:r>
      <w:r w:rsidRPr="006545AD">
        <w:rPr>
          <w:rFonts w:ascii="Times New Roman" w:hAnsi="Times New Roman" w:cs="Times New Roman"/>
          <w:b/>
          <w:sz w:val="28"/>
          <w:szCs w:val="28"/>
        </w:rPr>
        <w:t xml:space="preserve">4. Nguồn số liệu: </w:t>
      </w:r>
    </w:p>
    <w:p w14:paraId="6A95B0D6" w14:textId="6F17E01B" w:rsidR="00893D92" w:rsidRPr="006545AD" w:rsidRDefault="00893D92" w:rsidP="005725BC">
      <w:pPr>
        <w:spacing w:before="60" w:after="60" w:line="360" w:lineRule="exact"/>
        <w:jc w:val="both"/>
        <w:rPr>
          <w:rFonts w:ascii="Times New Roman" w:hAnsi="Times New Roman" w:cs="Times New Roman"/>
          <w:sz w:val="28"/>
          <w:szCs w:val="28"/>
        </w:rPr>
      </w:pPr>
      <w:r w:rsidRPr="006545AD">
        <w:rPr>
          <w:rFonts w:ascii="Times New Roman" w:hAnsi="Times New Roman" w:cs="Times New Roman"/>
          <w:sz w:val="28"/>
          <w:szCs w:val="28"/>
        </w:rPr>
        <w:tab/>
        <w:t>- Chế độ báo cáo thống kê ngành nông nghiệp và phát triển nông thôn.</w:t>
      </w:r>
    </w:p>
    <w:p w14:paraId="62DBE7D8" w14:textId="77777777" w:rsidR="008D2BAD" w:rsidRPr="006545AD" w:rsidRDefault="00893D92" w:rsidP="005725BC">
      <w:pPr>
        <w:spacing w:before="60" w:after="60" w:line="360" w:lineRule="exact"/>
        <w:jc w:val="both"/>
        <w:rPr>
          <w:rFonts w:ascii="Times New Roman" w:hAnsi="Times New Roman" w:cs="Times New Roman"/>
          <w:sz w:val="28"/>
          <w:szCs w:val="28"/>
        </w:rPr>
      </w:pPr>
      <w:r w:rsidRPr="006545AD">
        <w:rPr>
          <w:rFonts w:ascii="Times New Roman" w:hAnsi="Times New Roman" w:cs="Times New Roman"/>
          <w:sz w:val="28"/>
          <w:szCs w:val="28"/>
        </w:rPr>
        <w:t xml:space="preserve">  </w:t>
      </w:r>
      <w:r w:rsidRPr="006545AD">
        <w:rPr>
          <w:rFonts w:ascii="Times New Roman" w:hAnsi="Times New Roman" w:cs="Times New Roman"/>
          <w:sz w:val="28"/>
          <w:szCs w:val="28"/>
        </w:rPr>
        <w:tab/>
      </w:r>
      <w:r w:rsidRPr="006545AD">
        <w:rPr>
          <w:rFonts w:ascii="Times New Roman" w:hAnsi="Times New Roman" w:cs="Times New Roman"/>
          <w:b/>
          <w:sz w:val="28"/>
          <w:szCs w:val="28"/>
        </w:rPr>
        <w:t>5. Cơ quan chịu trách nhiệm thu thập, tổng hợp:</w:t>
      </w:r>
      <w:r w:rsidRPr="006545AD">
        <w:rPr>
          <w:rFonts w:ascii="Times New Roman" w:hAnsi="Times New Roman" w:cs="Times New Roman"/>
          <w:sz w:val="28"/>
          <w:szCs w:val="28"/>
        </w:rPr>
        <w:t xml:space="preserve"> </w:t>
      </w:r>
    </w:p>
    <w:p w14:paraId="79A325B2" w14:textId="77777777" w:rsidR="008D2BAD" w:rsidRPr="006545AD" w:rsidRDefault="008D2BAD" w:rsidP="008D2BAD">
      <w:pPr>
        <w:spacing w:before="60" w:after="60" w:line="360" w:lineRule="exact"/>
        <w:jc w:val="both"/>
        <w:rPr>
          <w:rFonts w:ascii="Times New Roman" w:eastAsia="Times New Roman" w:hAnsi="Times New Roman" w:cs="Times New Roman"/>
          <w:sz w:val="28"/>
          <w:szCs w:val="28"/>
          <w:lang w:val="en-US"/>
        </w:rPr>
      </w:pPr>
      <w:r w:rsidRPr="006545AD">
        <w:rPr>
          <w:rFonts w:ascii="Times New Roman" w:hAnsi="Times New Roman" w:cs="Times New Roman"/>
          <w:sz w:val="28"/>
          <w:szCs w:val="28"/>
        </w:rPr>
        <w:tab/>
      </w:r>
      <w:r w:rsidRPr="006545AD">
        <w:rPr>
          <w:rFonts w:ascii="Times New Roman" w:eastAsia="Times New Roman" w:hAnsi="Times New Roman" w:cs="Times New Roman"/>
          <w:sz w:val="28"/>
          <w:szCs w:val="28"/>
          <w:lang w:val="en-US"/>
        </w:rPr>
        <w:t>- Chủ trì: Bộ Nông nghiệp và Phát triển nông thôn.</w:t>
      </w:r>
    </w:p>
    <w:p w14:paraId="02EA1661" w14:textId="77777777" w:rsidR="008D2BAD" w:rsidRPr="006545AD" w:rsidRDefault="008D2BAD" w:rsidP="008D2BAD">
      <w:pPr>
        <w:spacing w:before="60" w:after="60" w:line="360" w:lineRule="exact"/>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t>- Phối hợp: Ủy ban nhân dân tỉnh, thành phố trực thuộc Trung ương</w:t>
      </w:r>
    </w:p>
    <w:p w14:paraId="5FBA4941" w14:textId="1E3162DB" w:rsidR="00F408D5" w:rsidRPr="006545AD" w:rsidRDefault="008851BE" w:rsidP="00962F16">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4.</w:t>
      </w:r>
      <w:r w:rsidR="009A51F4" w:rsidRPr="006545AD">
        <w:rPr>
          <w:rFonts w:ascii="Times New Roman" w:eastAsia="Times New Roman" w:hAnsi="Times New Roman" w:cs="Times New Roman"/>
          <w:b/>
          <w:sz w:val="28"/>
          <w:szCs w:val="28"/>
        </w:rPr>
        <w:t>1</w:t>
      </w:r>
      <w:r w:rsidR="006E7C70" w:rsidRPr="006545AD">
        <w:rPr>
          <w:rFonts w:ascii="Times New Roman" w:eastAsia="Times New Roman" w:hAnsi="Times New Roman" w:cs="Times New Roman"/>
          <w:b/>
          <w:sz w:val="28"/>
          <w:szCs w:val="28"/>
        </w:rPr>
        <w:t>4. Số lao động có việc làm xanh trong nền kinh tế</w:t>
      </w:r>
    </w:p>
    <w:p w14:paraId="08991CD5" w14:textId="77777777" w:rsidR="00F408D5" w:rsidRPr="006545AD" w:rsidRDefault="005B04E9" w:rsidP="00962F16">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74F3BF2A" w14:textId="77777777" w:rsidR="00F408D5" w:rsidRPr="006545AD" w:rsidRDefault="006E7C70" w:rsidP="00962F16">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Lao động có việc làm xanh là tất cả những người (thuộc phạm vi khái niệm lao động có việc làm) tham gia các hoạt động mang lại lợi ích cho môi trường và đáp ứng được các yêu cầu việc làm bền vững.</w:t>
      </w:r>
    </w:p>
    <w:p w14:paraId="45F9996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Hoạt động mang lại lợi ích cho môi trường là hoạt động kinh tế tạo ra hàng hóa và dịch vụ nhằm mục đích giảm hoặc loại bỏ tác động tiêu cực tới môi trường; giúp sử dụng hiệu quả nguồn tài nguyên thiên nhiên. Hoạt động mang lại lợi ích cho môi trường gồm hai loại:</w:t>
      </w:r>
    </w:p>
    <w:p w14:paraId="137EFB0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 Hoạt động bảo vệ môi trường: là các hoạt động có mục đích chính trong việc ngăn ngừa, giảm thiểu, loại bỏ ô nhiễm và các hình thức suy thoái khác của môi trường.</w:t>
      </w:r>
    </w:p>
    <w:p w14:paraId="097129F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(ii) Hoạt động quản lý tài nguyên: là các hoạt động có mục đích chính trong việc bảo quản và duy trì trữ lượng tài nguyên thiên nhiên; giảm sự suy kiệt.</w:t>
      </w:r>
    </w:p>
    <w:p w14:paraId="55649EB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Lao động trong hoạt động mang lại lợi ích cho môi trường gồm hai loại:</w:t>
      </w:r>
    </w:p>
    <w:p w14:paraId="102970C1"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 Lao động sản xuất sản phẩm đầu ra có lợi với môi trường: là lao động tham gia sản xuất hàng hóa và dịch vụ có lợi với môi trường cho mục đích tiêu dùng bên ngoài đơn vị sản xuất.</w:t>
      </w:r>
    </w:p>
    <w:p w14:paraId="20D75E47"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b) Lao động vận hành quy trình thân thiện với môi trường: là lao động tham gia sản xuất hàng hóa và dịch vụ có lợi với môi trường cho mục đích tiêu dùng bên trong đơn vị sản xuất.</w:t>
      </w:r>
    </w:p>
    <w:p w14:paraId="007A2CB8" w14:textId="349CE0FA" w:rsidR="00DE3597"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Việc làm bền vững là việc làm có tính hiệu quả (đáp ứng nhu cầu cơ bản của bản thân và đóng góp cho xã hội), mang lại thu nhập công bằng, an toàn tại nơi làm việc và an sinh xã hội cho người lao động cùng gia đình họ; có triển vọng để phát triển bản thân và hòa nhập xã hội; có quyền tự do bày tỏ những mối quan tâm của mình, thành lập tổ chức và tham gia vào qua trình hoạch định chính sách ảnh hưởng đến cuộc sống của chính họ; bình đẳng trong tiếp cận cơ hội và đối xử cho cả nam và nữ giới.</w:t>
      </w:r>
    </w:p>
    <w:p w14:paraId="5736980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472294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Giới tính;</w:t>
      </w:r>
    </w:p>
    <w:p w14:paraId="0AA6F9C4"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Nhóm tuổi;</w:t>
      </w:r>
    </w:p>
    <w:p w14:paraId="42C88DA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Trình độ chuyên môn kỹ thuật;</w:t>
      </w:r>
    </w:p>
    <w:p w14:paraId="5D4282C0" w14:textId="7146B2A9" w:rsidR="000F01D4" w:rsidRPr="006545AD" w:rsidRDefault="000F01D4" w:rsidP="00923EF8">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lang w:val="pt-BR"/>
        </w:rPr>
        <w:t>Mức thu nhập (các nhóm có mức thu nhập bình quân như sau: Từ 1 triệu đến 10 triệu đồng/tháng; Từ 10 triệu đến 20 triệu đồng/tháng; Từ 20 triệu đến dưới 50 triệu đồng/tháng; Từ trên 50 triệu đồng/tháng trở lên)</w:t>
      </w:r>
    </w:p>
    <w:p w14:paraId="22EFE58A" w14:textId="0AFEE210"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Ngành kinh tế; </w:t>
      </w:r>
    </w:p>
    <w:p w14:paraId="6845A1B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Vị thế việc làm;</w:t>
      </w:r>
    </w:p>
    <w:p w14:paraId="525AE23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Nghề nghiệp;</w:t>
      </w:r>
    </w:p>
    <w:p w14:paraId="220AB9FC" w14:textId="31555B99" w:rsidR="00853927" w:rsidRPr="006545AD" w:rsidRDefault="00853927"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hình việc làm xanh (</w:t>
      </w:r>
      <w:r w:rsidR="00DA10FA" w:rsidRPr="006545AD">
        <w:rPr>
          <w:rFonts w:ascii="Times New Roman" w:eastAsia="Times New Roman" w:hAnsi="Times New Roman" w:cs="Times New Roman"/>
          <w:sz w:val="28"/>
          <w:szCs w:val="28"/>
        </w:rPr>
        <w:t>lao động tham gia</w:t>
      </w:r>
      <w:r w:rsidR="00AC65E8"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sz w:val="28"/>
          <w:szCs w:val="28"/>
        </w:rPr>
        <w:t xml:space="preserve">sản xuất sản phẩm đầu ra có </w:t>
      </w:r>
      <w:r w:rsidRPr="009E1776">
        <w:rPr>
          <w:rFonts w:ascii="Times New Roman" w:eastAsia="Times New Roman" w:hAnsi="Times New Roman" w:cs="Times New Roman"/>
          <w:spacing w:val="-8"/>
          <w:sz w:val="28"/>
          <w:szCs w:val="28"/>
        </w:rPr>
        <w:t xml:space="preserve">lợi với môi trường; </w:t>
      </w:r>
      <w:r w:rsidR="00DA10FA" w:rsidRPr="009E1776">
        <w:rPr>
          <w:rFonts w:ascii="Times New Roman" w:eastAsia="Times New Roman" w:hAnsi="Times New Roman" w:cs="Times New Roman"/>
          <w:spacing w:val="-8"/>
          <w:sz w:val="28"/>
          <w:szCs w:val="28"/>
        </w:rPr>
        <w:t xml:space="preserve">lao động </w:t>
      </w:r>
      <w:r w:rsidRPr="009E1776">
        <w:rPr>
          <w:rFonts w:ascii="Times New Roman" w:eastAsia="Times New Roman" w:hAnsi="Times New Roman" w:cs="Times New Roman"/>
          <w:spacing w:val="-8"/>
          <w:sz w:val="28"/>
          <w:szCs w:val="28"/>
        </w:rPr>
        <w:t>tham gia vận hành quy trình thân thiện với môi trường);</w:t>
      </w:r>
    </w:p>
    <w:p w14:paraId="7ADE419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Thành thị/nông thôn;</w:t>
      </w:r>
    </w:p>
    <w:p w14:paraId="3B87B498"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Tỉnh/thành phố trực thuộc </w:t>
      </w:r>
      <w:r w:rsidR="00E9456D" w:rsidRPr="006545AD">
        <w:rPr>
          <w:rFonts w:ascii="Times New Roman" w:eastAsia="Times New Roman" w:hAnsi="Times New Roman" w:cs="Times New Roman"/>
          <w:sz w:val="28"/>
          <w:szCs w:val="28"/>
        </w:rPr>
        <w:t>Trung ương</w:t>
      </w:r>
      <w:r w:rsidRPr="006545AD">
        <w:rPr>
          <w:rFonts w:ascii="Times New Roman" w:eastAsia="Times New Roman" w:hAnsi="Times New Roman" w:cs="Times New Roman"/>
          <w:sz w:val="28"/>
          <w:szCs w:val="28"/>
        </w:rPr>
        <w:t>.</w:t>
      </w:r>
    </w:p>
    <w:p w14:paraId="60280A9A"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p>
    <w:p w14:paraId="7B2B988C"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4. Nguồn số liệu: </w:t>
      </w:r>
      <w:r w:rsidRPr="006545AD">
        <w:rPr>
          <w:rFonts w:ascii="Times New Roman" w:eastAsia="Times New Roman" w:hAnsi="Times New Roman" w:cs="Times New Roman"/>
          <w:sz w:val="28"/>
          <w:szCs w:val="28"/>
        </w:rPr>
        <w:t>Điều tra lao động và việc làm.</w:t>
      </w:r>
    </w:p>
    <w:p w14:paraId="5288348F"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 xml:space="preserve">5. Cơ quan chịu trách nhiệm thu thập, tổng hợp: </w:t>
      </w:r>
      <w:r w:rsidRPr="006545AD">
        <w:rPr>
          <w:rFonts w:ascii="Times New Roman" w:eastAsia="Times New Roman" w:hAnsi="Times New Roman" w:cs="Times New Roman"/>
          <w:spacing w:val="-4"/>
          <w:sz w:val="28"/>
          <w:szCs w:val="28"/>
        </w:rPr>
        <w:t>Bộ Kế hoạch và Đầu tư (Tổng cục Thống kê).</w:t>
      </w:r>
    </w:p>
    <w:p w14:paraId="4FFFFB1B" w14:textId="5956C8C0" w:rsidR="00B17E12" w:rsidRPr="006545AD" w:rsidRDefault="00B17E12" w:rsidP="00B17E1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4.</w:t>
      </w:r>
      <w:r w:rsidR="009A51F4" w:rsidRPr="006545AD">
        <w:rPr>
          <w:rFonts w:ascii="Times New Roman" w:eastAsia="Times New Roman" w:hAnsi="Times New Roman" w:cs="Times New Roman"/>
          <w:b/>
          <w:sz w:val="28"/>
          <w:szCs w:val="28"/>
        </w:rPr>
        <w:t>15</w:t>
      </w:r>
      <w:r w:rsidRPr="006545AD">
        <w:rPr>
          <w:rFonts w:ascii="Times New Roman" w:eastAsia="Times New Roman" w:hAnsi="Times New Roman" w:cs="Times New Roman"/>
          <w:b/>
          <w:sz w:val="28"/>
          <w:szCs w:val="28"/>
        </w:rPr>
        <w:t>. Hệ số bất bình đẳng trong phân phối thu nhập (hệ số GINI)</w:t>
      </w:r>
    </w:p>
    <w:p w14:paraId="2A510D02" w14:textId="77777777" w:rsidR="00B17E12" w:rsidRPr="006545AD" w:rsidRDefault="00B17E12" w:rsidP="00B17E1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p>
    <w:p w14:paraId="026CC32C"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Hệ số Gini (G) được tính dựa vào đường cong Lorenz. Đường cong Lorenz được tạo bởi 2 yếu tố: Tỷ lệ thu nhập của dân cư cộng dồn và tỷ lệ dân số tương ứng cộng dồn.</w:t>
      </w:r>
    </w:p>
    <w:p w14:paraId="2188205D"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t xml:space="preserve">Hệ số Gini là giá trị của diện tích A (được tạo bởi đường cong Lorenz và đường thẳng 45o từ gốc tọa độ) chia cho diện tích A+B (là diện tích tam giác vuông nằm dưới đường thẳng 45o từ gốc tọa độ). </w:t>
      </w:r>
    </w:p>
    <w:p w14:paraId="7E4E5E29"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Công thức tính: </w:t>
      </w:r>
    </w:p>
    <w:p w14:paraId="1F7F3B97" w14:textId="77777777" w:rsidR="00B17E12" w:rsidRPr="006545AD" w:rsidRDefault="00B17E12" w:rsidP="00B17E12">
      <w:pPr>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G= 1- </w:t>
      </w:r>
      <m:oMath>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 xml:space="preserve">i </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i-1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i-1</m:t>
                </m:r>
              </m:sub>
            </m:sSub>
            <m:r>
              <w:rPr>
                <w:rFonts w:ascii="Cambria Math" w:eastAsia="Times New Roman" w:hAnsi="Cambria Math" w:cs="Times New Roman"/>
                <w:sz w:val="28"/>
                <w:szCs w:val="28"/>
              </w:rPr>
              <m:t>)</m:t>
            </m:r>
          </m:e>
        </m:nary>
      </m:oMath>
    </w:p>
    <w:p w14:paraId="6F1DCA86"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Trong đó:</w:t>
      </w:r>
    </w:p>
    <w:p w14:paraId="64EF5922"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z w:val="28"/>
          <w:szCs w:val="28"/>
        </w:rPr>
        <w:tab/>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 xml:space="preserve">i </m:t>
            </m:r>
          </m:sub>
        </m:sSub>
      </m:oMath>
      <w:r w:rsidRPr="006545AD">
        <w:rPr>
          <w:rFonts w:ascii="Times New Roman" w:eastAsia="Times New Roman" w:hAnsi="Times New Roman" w:cs="Times New Roman"/>
          <w:sz w:val="28"/>
          <w:szCs w:val="28"/>
        </w:rPr>
        <w:t>: Tỷ lệ dân số cộng dồn đến người thứ i;</w:t>
      </w:r>
    </w:p>
    <w:p w14:paraId="4D3B6144"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z w:val="28"/>
          <w:szCs w:val="28"/>
        </w:rPr>
        <w:tab/>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m:t>
            </m:r>
          </m:sub>
        </m:sSub>
      </m:oMath>
      <w:r w:rsidRPr="006545AD">
        <w:rPr>
          <w:rFonts w:ascii="Times New Roman" w:eastAsia="Times New Roman" w:hAnsi="Times New Roman" w:cs="Times New Roman"/>
          <w:sz w:val="28"/>
          <w:szCs w:val="28"/>
        </w:rPr>
        <w:t>: Tỷ lệ thu nhập cộng dồn đến người thứ i.</w:t>
      </w:r>
    </w:p>
    <w:p w14:paraId="7A0F4777"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EF4E0C">
        <w:rPr>
          <w:rFonts w:ascii="Times New Roman" w:eastAsia="Times New Roman" w:hAnsi="Times New Roman" w:cs="Times New Roman"/>
          <w:noProof/>
          <w:sz w:val="28"/>
          <w:szCs w:val="28"/>
          <w:lang w:val="vi-VN" w:eastAsia="vi-VN"/>
        </w:rPr>
        <w:drawing>
          <wp:anchor distT="0" distB="0" distL="114300" distR="114300" simplePos="0" relativeHeight="251660288" behindDoc="1" locked="0" layoutInCell="1" allowOverlap="1" wp14:anchorId="682A60C5" wp14:editId="3CCF671E">
            <wp:simplePos x="0" y="0"/>
            <wp:positionH relativeFrom="page">
              <wp:align>center</wp:align>
            </wp:positionH>
            <wp:positionV relativeFrom="paragraph">
              <wp:posOffset>224220</wp:posOffset>
            </wp:positionV>
            <wp:extent cx="2712720" cy="2346960"/>
            <wp:effectExtent l="0" t="0" r="0" b="0"/>
            <wp:wrapTight wrapText="bothSides">
              <wp:wrapPolygon edited="0">
                <wp:start x="0" y="0"/>
                <wp:lineTo x="0" y="21390"/>
                <wp:lineTo x="21388" y="21390"/>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720" cy="2346960"/>
                    </a:xfrm>
                    <a:prstGeom prst="rect">
                      <a:avLst/>
                    </a:prstGeom>
                    <a:noFill/>
                  </pic:spPr>
                </pic:pic>
              </a:graphicData>
            </a:graphic>
          </wp:anchor>
        </w:drawing>
      </w:r>
      <w:r w:rsidRPr="006545AD">
        <w:rPr>
          <w:rFonts w:ascii="Times New Roman" w:eastAsia="Times New Roman" w:hAnsi="Times New Roman" w:cs="Times New Roman"/>
          <w:sz w:val="28"/>
          <w:szCs w:val="28"/>
        </w:rPr>
        <w:tab/>
      </w:r>
    </w:p>
    <w:p w14:paraId="3735914C"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1D13EE33"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20A5C8FC"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131C36B4"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3C6B51FC"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7C350C08"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1A1B86CB"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2D0EE533"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2F7BABFF"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p>
    <w:p w14:paraId="368220A4"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Khi đường cong Lorenz trùng với đường thẳng 450 (đường bình đẳng tuyệt đối) thì hệ số Gini bằng 0 (vì A=0), xã hội có sự phân phối thu nhập bình đẳng tuyệt đối, mọi người dân có thu nhập như nhau; và khi đường cong Lorenz trùng với trục hoành, hệ số Gini bằng 1 (vì B=0), xã hội có sự phân phối thu nhập bất bình đẳng tuyệt đối, một người dân hưởng toàn bộ thu nhập của cả xã hội. Hệ số Gini nhận giá trị từ 0 đến 1. Hệ số Gini càng gần 1 thì sự bất bình đẳng về thu nhập trong dân cư càng lớn. </w:t>
      </w:r>
    </w:p>
    <w:p w14:paraId="392B0699"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Hệ số Gini có giá trị chính xác nhất khi được tính dựa trên số liệu thu nhập bình quân của từng người dân. Tuy nhiên, căn cứ vào tính sẵn có và sự thuận tiện trong tính toán cũng có thể tính hệ số Gini dựa trên số liệu thu nhập bình quân đầu người theo nhóm dân cư. Giá trị của hệ số Gini tính theo nhóm dân cư thấp hơn giá trị của hệ số Gini tính theo từng người dân. Số nhóm dân cư càng lớn thì tính chính xác của hệ số Gini càng cao. </w:t>
      </w:r>
    </w:p>
    <w:p w14:paraId="42A8FF50" w14:textId="77777777" w:rsidR="00B17E12" w:rsidRPr="006545AD" w:rsidRDefault="00B17E12" w:rsidP="00B17E12">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685770D5"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Thành thị/nông thôn;</w:t>
      </w:r>
    </w:p>
    <w:p w14:paraId="7D90943C" w14:textId="77777777" w:rsidR="00B17E12" w:rsidRPr="006545AD" w:rsidRDefault="00B17E12" w:rsidP="00B17E12">
      <w:pPr>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Vùng.</w:t>
      </w:r>
    </w:p>
    <w:p w14:paraId="2E93C17A"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2 năm.</w:t>
      </w:r>
    </w:p>
    <w:p w14:paraId="75722C93"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4. Nguồn số liệu: </w:t>
      </w:r>
      <w:r w:rsidRPr="006545AD">
        <w:rPr>
          <w:rFonts w:ascii="Times New Roman" w:eastAsia="Times New Roman" w:hAnsi="Times New Roman" w:cs="Times New Roman"/>
          <w:sz w:val="28"/>
          <w:szCs w:val="28"/>
        </w:rPr>
        <w:t>Khảo sát mức sống dân cư Việt Nam.</w:t>
      </w:r>
    </w:p>
    <w:p w14:paraId="3824F9A4"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lastRenderedPageBreak/>
        <w:t>5. Cơ quan chịu trách nhiệm thu thập, tổng hợp:</w:t>
      </w:r>
      <w:r w:rsidRPr="006545AD">
        <w:rPr>
          <w:rFonts w:ascii="Times New Roman" w:eastAsia="Times New Roman" w:hAnsi="Times New Roman" w:cs="Times New Roman"/>
          <w:spacing w:val="-4"/>
          <w:sz w:val="28"/>
          <w:szCs w:val="28"/>
        </w:rPr>
        <w:t xml:space="preserve"> Bộ Kế hoạch và Đầu tư (Tổng cục Thống kê).</w:t>
      </w:r>
    </w:p>
    <w:p w14:paraId="7D89D454" w14:textId="15DAFB34" w:rsidR="00B17E12" w:rsidRPr="006545AD" w:rsidRDefault="00B17E12" w:rsidP="00B17E1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4.1</w:t>
      </w:r>
      <w:r w:rsidR="009A51F4" w:rsidRPr="006545AD">
        <w:rPr>
          <w:rFonts w:ascii="Times New Roman" w:eastAsia="Times New Roman" w:hAnsi="Times New Roman" w:cs="Times New Roman"/>
          <w:b/>
          <w:sz w:val="28"/>
          <w:szCs w:val="28"/>
        </w:rPr>
        <w:t>6</w:t>
      </w:r>
      <w:r w:rsidRPr="006545AD">
        <w:rPr>
          <w:rFonts w:ascii="Times New Roman" w:eastAsia="Times New Roman" w:hAnsi="Times New Roman" w:cs="Times New Roman"/>
          <w:b/>
          <w:sz w:val="28"/>
          <w:szCs w:val="28"/>
        </w:rPr>
        <w:t>.</w:t>
      </w:r>
      <w:r w:rsidRPr="006545AD">
        <w:rPr>
          <w:rFonts w:ascii="Times New Roman" w:eastAsia="Times New Roman" w:hAnsi="Times New Roman" w:cs="Times New Roman"/>
          <w:sz w:val="28"/>
          <w:szCs w:val="28"/>
        </w:rPr>
        <w:t xml:space="preserve"> </w:t>
      </w:r>
      <w:r w:rsidRPr="006545AD">
        <w:rPr>
          <w:rFonts w:ascii="Times New Roman" w:eastAsia="Times New Roman" w:hAnsi="Times New Roman" w:cs="Times New Roman"/>
          <w:b/>
          <w:sz w:val="28"/>
          <w:szCs w:val="28"/>
        </w:rPr>
        <w:t>Thu nhập bình quân một lao động đang làm việc</w:t>
      </w:r>
    </w:p>
    <w:p w14:paraId="2BA38CDC" w14:textId="77777777" w:rsidR="00B17E12" w:rsidRPr="006545AD" w:rsidRDefault="00B17E12" w:rsidP="00B17E12">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1. Khái niệm, phương pháp tính</w:t>
      </w:r>
      <w:r w:rsidRPr="006545AD">
        <w:rPr>
          <w:rFonts w:ascii="Times New Roman" w:eastAsia="Times New Roman" w:hAnsi="Times New Roman" w:cs="Times New Roman"/>
          <w:sz w:val="28"/>
          <w:szCs w:val="28"/>
        </w:rPr>
        <w:tab/>
      </w:r>
    </w:p>
    <w:p w14:paraId="3C5F8E97" w14:textId="77777777" w:rsidR="00B17E12" w:rsidRPr="006545AD" w:rsidRDefault="00B17E12" w:rsidP="00B17E12">
      <w:pPr>
        <w:spacing w:before="60" w:after="60" w:line="360" w:lineRule="exact"/>
        <w:jc w:val="both"/>
        <w:rPr>
          <w:rFonts w:ascii="Times New Roman" w:hAnsi="Times New Roman" w:cs="Times New Roman"/>
          <w:sz w:val="28"/>
          <w:szCs w:val="28"/>
          <w:lang w:val="pt-BR"/>
        </w:rPr>
      </w:pPr>
      <w:r w:rsidRPr="006545AD">
        <w:rPr>
          <w:rFonts w:ascii="Times New Roman" w:eastAsia="Times New Roman" w:hAnsi="Times New Roman" w:cs="Times New Roman"/>
          <w:sz w:val="28"/>
          <w:szCs w:val="28"/>
        </w:rPr>
        <w:tab/>
      </w:r>
      <w:r w:rsidRPr="006545AD">
        <w:rPr>
          <w:rFonts w:ascii="Times New Roman" w:hAnsi="Times New Roman" w:cs="Times New Roman"/>
          <w:sz w:val="28"/>
          <w:szCs w:val="28"/>
          <w:lang w:val="pt-BR"/>
        </w:rPr>
        <w:t xml:space="preserve">Thu nhập của lao động đang làm việc bao gồm những khoản thu nhập sau: </w:t>
      </w:r>
    </w:p>
    <w:p w14:paraId="38EE1950" w14:textId="77777777" w:rsidR="00B17E12" w:rsidRPr="006545AD" w:rsidRDefault="00B17E12" w:rsidP="00B17E12">
      <w:pPr>
        <w:spacing w:before="60" w:after="60" w:line="360" w:lineRule="exact"/>
        <w:jc w:val="both"/>
        <w:rPr>
          <w:rFonts w:ascii="Times New Roman" w:hAnsi="Times New Roman" w:cs="Times New Roman"/>
          <w:sz w:val="28"/>
          <w:szCs w:val="28"/>
          <w:lang w:val="pt-BR"/>
        </w:rPr>
      </w:pPr>
      <w:r w:rsidRPr="006545AD">
        <w:rPr>
          <w:rFonts w:ascii="Times New Roman" w:hAnsi="Times New Roman" w:cs="Times New Roman"/>
          <w:sz w:val="28"/>
          <w:szCs w:val="28"/>
          <w:lang w:val="pt-BR"/>
        </w:rPr>
        <w:tab/>
        <w:t xml:space="preserve">- Thu nhập từ tiền công, tiền lương và các khoản thu nhập khác có tính chất như lương, gồm: Tiền làm thêm, tiền thưởng, tiền phụ cấp,… của những người lao động làm công hưởng lương trong nền kinh tế. Các khoản thu nhập này có thể bằng tiền hoặc hiện vật. </w:t>
      </w:r>
    </w:p>
    <w:p w14:paraId="2A250230" w14:textId="18CE7E5E" w:rsidR="00350DB3" w:rsidRPr="006545AD" w:rsidRDefault="00B17E12" w:rsidP="00B17E12">
      <w:pPr>
        <w:spacing w:before="60" w:after="60" w:line="360" w:lineRule="exact"/>
        <w:jc w:val="both"/>
        <w:rPr>
          <w:rFonts w:ascii="Times New Roman" w:hAnsi="Times New Roman" w:cs="Times New Roman"/>
          <w:sz w:val="28"/>
          <w:szCs w:val="28"/>
          <w:lang w:val="pt-BR"/>
        </w:rPr>
      </w:pPr>
      <w:r w:rsidRPr="006545AD">
        <w:rPr>
          <w:rFonts w:ascii="Times New Roman" w:hAnsi="Times New Roman" w:cs="Times New Roman"/>
          <w:sz w:val="28"/>
          <w:szCs w:val="28"/>
          <w:lang w:val="pt-BR"/>
        </w:rPr>
        <w:tab/>
        <w:t>- Thu nhập từ các hoạt động sản xuất kinh doanh, gồm: Thu lợi từ các hoạt động sản xuất nông nghiệp để bán sản phẩm, lợi nhuận từ việc kinh doanh hàng hóa, dịch vụ,... không bao gồm những khoản thu nhập từ lãi suất cho vay hay lợi tức được trả mà không liên quan đến công việc đang làm.</w:t>
      </w:r>
      <w:r w:rsidR="00350DB3" w:rsidRPr="009E1776">
        <w:rPr>
          <w:rFonts w:ascii="Times New Roman" w:eastAsia="Times New Roman" w:hAnsi="Times New Roman" w:cs="Times New Roman"/>
          <w:sz w:val="28"/>
          <w:szCs w:val="28"/>
        </w:rPr>
        <w:t xml:space="preserve"> </w:t>
      </w:r>
    </w:p>
    <w:p w14:paraId="4382A40F" w14:textId="77777777" w:rsidR="00B17E12" w:rsidRPr="006545AD" w:rsidRDefault="00B17E12" w:rsidP="00B17E12">
      <w:pPr>
        <w:spacing w:before="60" w:after="60" w:line="360" w:lineRule="exact"/>
        <w:jc w:val="both"/>
        <w:rPr>
          <w:rFonts w:ascii="Times New Roman" w:hAnsi="Times New Roman" w:cs="Times New Roman"/>
          <w:sz w:val="28"/>
          <w:szCs w:val="28"/>
          <w:lang w:val="pt-BR"/>
        </w:rPr>
      </w:pPr>
      <w:r w:rsidRPr="006545AD">
        <w:rPr>
          <w:rFonts w:ascii="Times New Roman" w:hAnsi="Times New Roman" w:cs="Times New Roman"/>
          <w:sz w:val="28"/>
          <w:szCs w:val="28"/>
          <w:lang w:val="pt-BR"/>
        </w:rPr>
        <w:tab/>
        <w:t>Thu nhập bình quân một lao động đang làm việc là tổng thu nhập của tất cả lao động đang làm việc so với tổng số lao động đang làm việc.</w:t>
      </w:r>
    </w:p>
    <w:p w14:paraId="39CB5859" w14:textId="73E264B2" w:rsidR="00350DB3" w:rsidRPr="006545AD" w:rsidRDefault="00350DB3" w:rsidP="00B17E12">
      <w:pPr>
        <w:spacing w:before="60" w:after="60" w:line="360" w:lineRule="exact"/>
        <w:jc w:val="both"/>
        <w:rPr>
          <w:rFonts w:ascii="Times New Roman" w:hAnsi="Times New Roman" w:cs="Times New Roman"/>
          <w:sz w:val="28"/>
          <w:szCs w:val="28"/>
          <w:lang w:val="pt-BR"/>
        </w:rPr>
      </w:pPr>
      <w:r w:rsidRPr="006545AD">
        <w:rPr>
          <w:rFonts w:ascii="Times New Roman" w:hAnsi="Times New Roman" w:cs="Times New Roman"/>
          <w:sz w:val="28"/>
          <w:szCs w:val="28"/>
          <w:lang w:val="pt-BR"/>
        </w:rPr>
        <w:tab/>
        <w:t>Thu nhập bình quân của một lao động có việc làm xanh là tổng thu nhập của tất cả lao động có việc làm xanh so với tổng số lao độ</w:t>
      </w:r>
      <w:r w:rsidR="00B41E9F" w:rsidRPr="006545AD">
        <w:rPr>
          <w:rFonts w:ascii="Times New Roman" w:hAnsi="Times New Roman" w:cs="Times New Roman"/>
          <w:sz w:val="28"/>
          <w:szCs w:val="28"/>
          <w:lang w:val="pt-BR"/>
        </w:rPr>
        <w:t>ng có việc làm xanh</w:t>
      </w:r>
      <w:r w:rsidRPr="006545AD">
        <w:rPr>
          <w:rFonts w:ascii="Times New Roman" w:hAnsi="Times New Roman" w:cs="Times New Roman"/>
          <w:sz w:val="28"/>
          <w:szCs w:val="28"/>
          <w:lang w:val="pt-BR"/>
        </w:rPr>
        <w:t>.</w:t>
      </w:r>
    </w:p>
    <w:p w14:paraId="4B67DEA8" w14:textId="303EFFE8" w:rsidR="00C574CF" w:rsidRPr="00BB21B6" w:rsidRDefault="00EE5A98" w:rsidP="00EE5A9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Lao động có việc làm xanh là tất cả những người (thuộc phạm vi khái niệm lao động có việc làm) tham gia các hoạt động mang lại lợi ích cho môi trường và đáp ứng được các yêu cầu việc làm bền vững.</w:t>
      </w:r>
    </w:p>
    <w:p w14:paraId="05DCA666" w14:textId="77777777" w:rsidR="00B17E12" w:rsidRPr="006545AD" w:rsidRDefault="00B17E12" w:rsidP="00B17E12">
      <w:pPr>
        <w:spacing w:before="60" w:after="60" w:line="360" w:lineRule="exact"/>
        <w:jc w:val="both"/>
        <w:rPr>
          <w:rFonts w:ascii="Times New Roman" w:hAnsi="Times New Roman" w:cs="Times New Roman"/>
          <w:sz w:val="28"/>
          <w:szCs w:val="28"/>
          <w:lang w:val="pt-BR"/>
        </w:rPr>
      </w:pPr>
      <w:r w:rsidRPr="006545AD">
        <w:rPr>
          <w:rFonts w:ascii="Times New Roman" w:hAnsi="Times New Roman" w:cs="Times New Roman"/>
          <w:sz w:val="28"/>
          <w:szCs w:val="28"/>
          <w:lang w:val="pt-BR"/>
        </w:rPr>
        <w:tab/>
      </w:r>
      <w:r w:rsidRPr="006545AD">
        <w:rPr>
          <w:rFonts w:ascii="Times New Roman" w:hAnsi="Times New Roman" w:cs="Times New Roman"/>
          <w:sz w:val="28"/>
          <w:szCs w:val="28"/>
        </w:rPr>
        <w:t>Công thức tính:</w:t>
      </w:r>
    </w:p>
    <w:tbl>
      <w:tblPr>
        <w:tblW w:w="0" w:type="auto"/>
        <w:jc w:val="center"/>
        <w:tblLook w:val="04A0" w:firstRow="1" w:lastRow="0" w:firstColumn="1" w:lastColumn="0" w:noHBand="0" w:noVBand="1"/>
      </w:tblPr>
      <w:tblGrid>
        <w:gridCol w:w="3075"/>
        <w:gridCol w:w="577"/>
        <w:gridCol w:w="3861"/>
      </w:tblGrid>
      <w:tr w:rsidR="00B17E12" w:rsidRPr="006545AD" w14:paraId="0FAC081D" w14:textId="77777777" w:rsidTr="00350DB3">
        <w:trPr>
          <w:jc w:val="center"/>
        </w:trPr>
        <w:tc>
          <w:tcPr>
            <w:tcW w:w="3075" w:type="dxa"/>
            <w:vMerge w:val="restart"/>
            <w:shd w:val="clear" w:color="auto" w:fill="auto"/>
            <w:vAlign w:val="center"/>
          </w:tcPr>
          <w:p w14:paraId="7CE84D73" w14:textId="77777777" w:rsidR="00B17E12" w:rsidRPr="006545AD" w:rsidRDefault="00B17E12"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Thu nhập bình quân một lao động đang làm việc</w:t>
            </w:r>
          </w:p>
        </w:tc>
        <w:tc>
          <w:tcPr>
            <w:tcW w:w="577" w:type="dxa"/>
            <w:vMerge w:val="restart"/>
            <w:shd w:val="clear" w:color="auto" w:fill="auto"/>
            <w:vAlign w:val="center"/>
          </w:tcPr>
          <w:p w14:paraId="76F03008" w14:textId="77777777" w:rsidR="00B17E12" w:rsidRPr="006545AD" w:rsidRDefault="00B17E12"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br/>
              <w:t>=</w:t>
            </w:r>
          </w:p>
        </w:tc>
        <w:tc>
          <w:tcPr>
            <w:tcW w:w="3861" w:type="dxa"/>
            <w:tcBorders>
              <w:bottom w:val="single" w:sz="4" w:space="0" w:color="auto"/>
            </w:tcBorders>
            <w:shd w:val="clear" w:color="auto" w:fill="auto"/>
            <w:vAlign w:val="center"/>
          </w:tcPr>
          <w:p w14:paraId="776F9B76" w14:textId="77777777" w:rsidR="00B17E12" w:rsidRPr="006545AD" w:rsidRDefault="00B17E12" w:rsidP="00350DB3">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Tổng thu nhập của tất cả lao động đang làm việc</w:t>
            </w:r>
          </w:p>
        </w:tc>
      </w:tr>
      <w:tr w:rsidR="00B17E12" w:rsidRPr="006545AD" w14:paraId="15B5050B" w14:textId="77777777" w:rsidTr="00350DB3">
        <w:trPr>
          <w:jc w:val="center"/>
        </w:trPr>
        <w:tc>
          <w:tcPr>
            <w:tcW w:w="3075" w:type="dxa"/>
            <w:vMerge/>
            <w:shd w:val="clear" w:color="auto" w:fill="auto"/>
            <w:vAlign w:val="center"/>
          </w:tcPr>
          <w:p w14:paraId="55BFF8F5" w14:textId="77777777" w:rsidR="00B17E12" w:rsidRPr="006545AD" w:rsidRDefault="00B17E12" w:rsidP="00350DB3">
            <w:pPr>
              <w:spacing w:before="120" w:after="120" w:line="240" w:lineRule="auto"/>
              <w:jc w:val="center"/>
              <w:rPr>
                <w:rFonts w:ascii="Times New Roman" w:hAnsi="Times New Roman" w:cs="Times New Roman"/>
                <w:sz w:val="28"/>
                <w:szCs w:val="28"/>
              </w:rPr>
            </w:pPr>
          </w:p>
        </w:tc>
        <w:tc>
          <w:tcPr>
            <w:tcW w:w="577" w:type="dxa"/>
            <w:vMerge/>
            <w:shd w:val="clear" w:color="auto" w:fill="auto"/>
            <w:vAlign w:val="center"/>
          </w:tcPr>
          <w:p w14:paraId="40BEA03A" w14:textId="77777777" w:rsidR="00B17E12" w:rsidRPr="006545AD" w:rsidRDefault="00B17E12" w:rsidP="00350DB3">
            <w:pPr>
              <w:spacing w:before="120" w:after="120" w:line="240" w:lineRule="auto"/>
              <w:jc w:val="center"/>
              <w:rPr>
                <w:rFonts w:ascii="Times New Roman" w:hAnsi="Times New Roman" w:cs="Times New Roman"/>
                <w:sz w:val="28"/>
                <w:szCs w:val="28"/>
              </w:rPr>
            </w:pPr>
          </w:p>
        </w:tc>
        <w:tc>
          <w:tcPr>
            <w:tcW w:w="3861" w:type="dxa"/>
            <w:tcBorders>
              <w:top w:val="single" w:sz="4" w:space="0" w:color="auto"/>
            </w:tcBorders>
            <w:shd w:val="clear" w:color="auto" w:fill="auto"/>
            <w:vAlign w:val="center"/>
          </w:tcPr>
          <w:p w14:paraId="6C15A703" w14:textId="644F7113" w:rsidR="00B17E12" w:rsidRPr="006545AD" w:rsidRDefault="00B17E12">
            <w:pPr>
              <w:spacing w:before="120" w:after="120" w:line="240" w:lineRule="auto"/>
              <w:jc w:val="center"/>
              <w:rPr>
                <w:rFonts w:ascii="Times New Roman" w:hAnsi="Times New Roman" w:cs="Times New Roman"/>
                <w:sz w:val="28"/>
                <w:szCs w:val="28"/>
              </w:rPr>
            </w:pPr>
            <w:r w:rsidRPr="006545AD">
              <w:rPr>
                <w:rFonts w:ascii="Times New Roman" w:hAnsi="Times New Roman" w:cs="Times New Roman"/>
                <w:sz w:val="28"/>
                <w:szCs w:val="28"/>
              </w:rPr>
              <w:t xml:space="preserve">Tổng số lao động </w:t>
            </w:r>
            <w:r w:rsidR="001018C5" w:rsidRPr="006545AD">
              <w:rPr>
                <w:rFonts w:ascii="Times New Roman" w:hAnsi="Times New Roman" w:cs="Times New Roman"/>
                <w:sz w:val="28"/>
                <w:szCs w:val="28"/>
              </w:rPr>
              <w:t>đang làm việc</w:t>
            </w:r>
          </w:p>
        </w:tc>
      </w:tr>
    </w:tbl>
    <w:p w14:paraId="5C8F40A6" w14:textId="77777777" w:rsidR="00B17E12" w:rsidRPr="006545AD" w:rsidRDefault="00B17E12" w:rsidP="00B17E12">
      <w:pPr>
        <w:spacing w:before="60" w:after="60" w:line="36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7EB00F58"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Giới tính;</w:t>
      </w:r>
    </w:p>
    <w:p w14:paraId="4349AA84"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Nghề nghiệp;</w:t>
      </w:r>
    </w:p>
    <w:p w14:paraId="73507330" w14:textId="7473CB47" w:rsidR="00350DB3" w:rsidRPr="006545AD" w:rsidRDefault="00EE5A98"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Việc làm xanh;</w:t>
      </w:r>
    </w:p>
    <w:p w14:paraId="7C1F540E"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Trình độ chuyên môn, kỹ thuật (gồm Không có trình độ chuyên môn, Sơ cấp, Trung có trình độ chuyên môn, Sơ cấp);</w:t>
      </w:r>
    </w:p>
    <w:p w14:paraId="58E88F93"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xml:space="preserve">- Ngành kinh tế; </w:t>
      </w:r>
    </w:p>
    <w:p w14:paraId="6CD8E938" w14:textId="1DB3DB59"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xml:space="preserve">- Loại hình doanh nghiệp (gồm </w:t>
      </w:r>
      <w:r w:rsidRPr="006545AD">
        <w:rPr>
          <w:rFonts w:ascii="Times New Roman" w:eastAsia="Times New Roman" w:hAnsi="Times New Roman" w:cs="Times New Roman"/>
          <w:sz w:val="28"/>
          <w:szCs w:val="28"/>
          <w:lang w:val="en-US"/>
        </w:rPr>
        <w:t>Doanh nghiệp Nhà nước, Doanh nghiệp ngoài Nhà nước</w:t>
      </w:r>
      <w:r w:rsidR="001018C5" w:rsidRPr="006545AD">
        <w:rPr>
          <w:rFonts w:ascii="Times New Roman" w:eastAsia="Times New Roman" w:hAnsi="Times New Roman" w:cs="Times New Roman"/>
          <w:sz w:val="28"/>
          <w:szCs w:val="28"/>
          <w:lang w:val="en-US"/>
        </w:rPr>
        <w:t>)</w:t>
      </w:r>
      <w:r w:rsidRPr="006545AD">
        <w:rPr>
          <w:rFonts w:ascii="Times New Roman" w:eastAsia="Times New Roman" w:hAnsi="Times New Roman" w:cs="Times New Roman"/>
          <w:sz w:val="28"/>
          <w:szCs w:val="28"/>
          <w:lang w:val="en-US"/>
        </w:rPr>
        <w:t xml:space="preserve"> hoặc theo Loại hình kinh tế </w:t>
      </w:r>
      <w:r w:rsidR="001018C5" w:rsidRPr="006545AD">
        <w:rPr>
          <w:rFonts w:ascii="Times New Roman" w:eastAsia="Times New Roman" w:hAnsi="Times New Roman" w:cs="Times New Roman"/>
          <w:sz w:val="28"/>
          <w:szCs w:val="28"/>
          <w:lang w:val="en-US"/>
        </w:rPr>
        <w:t>(</w:t>
      </w:r>
      <w:r w:rsidRPr="006545AD">
        <w:rPr>
          <w:rFonts w:ascii="Times New Roman" w:eastAsia="Times New Roman" w:hAnsi="Times New Roman" w:cs="Times New Roman"/>
          <w:sz w:val="28"/>
          <w:szCs w:val="28"/>
          <w:lang w:val="en-US"/>
        </w:rPr>
        <w:t>gồm Kinh tế Nhà nước, Kinh tế ngoài Nhà nước và khu vực có vốn đầu tư nước ngoài);</w:t>
      </w:r>
    </w:p>
    <w:p w14:paraId="5877FBFC"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Thành thị/nông thôn;</w:t>
      </w:r>
    </w:p>
    <w:p w14:paraId="0E0AC918"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sz w:val="28"/>
          <w:szCs w:val="28"/>
          <w:lang w:val="pt-BR"/>
        </w:rPr>
        <w:t>- Tỉnh, thành phố trực thuộc trung ương;</w:t>
      </w:r>
    </w:p>
    <w:p w14:paraId="4ED14954"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lastRenderedPageBreak/>
        <w:t>- Vùng kinh tế - xã hội.</w:t>
      </w:r>
    </w:p>
    <w:p w14:paraId="4DF6EA6A"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3. Kỳ công bố:</w:t>
      </w:r>
      <w:r w:rsidRPr="006545AD">
        <w:rPr>
          <w:rFonts w:ascii="Times New Roman" w:eastAsia="Times New Roman" w:hAnsi="Times New Roman" w:cs="Times New Roman"/>
          <w:sz w:val="28"/>
          <w:szCs w:val="28"/>
        </w:rPr>
        <w:t xml:space="preserve"> Quý, Năm.</w:t>
      </w:r>
    </w:p>
    <w:p w14:paraId="148BC89D" w14:textId="77777777" w:rsidR="00B17E12" w:rsidRPr="006545AD" w:rsidRDefault="00B17E12" w:rsidP="00B17E12">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4. Nguồn số liệu:</w:t>
      </w:r>
      <w:r w:rsidRPr="006545AD">
        <w:rPr>
          <w:rFonts w:ascii="Times New Roman" w:eastAsia="Times New Roman" w:hAnsi="Times New Roman" w:cs="Times New Roman"/>
          <w:sz w:val="28"/>
          <w:szCs w:val="28"/>
        </w:rPr>
        <w:t xml:space="preserve"> Điều tra lao động và việc làm.</w:t>
      </w:r>
    </w:p>
    <w:p w14:paraId="737DC6A3" w14:textId="31D460A3" w:rsidR="00125A76" w:rsidRPr="00BB21B6" w:rsidRDefault="00B17E12" w:rsidP="00BB21B6">
      <w:pPr>
        <w:spacing w:before="60" w:after="60" w:line="360" w:lineRule="exact"/>
        <w:ind w:firstLine="720"/>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pacing w:val="-4"/>
          <w:sz w:val="28"/>
          <w:szCs w:val="28"/>
        </w:rPr>
        <w:t>5. Cơ quan chịu trách nhiệm thu thập, tổng hợp:</w:t>
      </w:r>
      <w:r w:rsidRPr="006545AD">
        <w:rPr>
          <w:rFonts w:ascii="Times New Roman" w:eastAsia="Times New Roman" w:hAnsi="Times New Roman" w:cs="Times New Roman"/>
          <w:spacing w:val="-4"/>
          <w:sz w:val="28"/>
          <w:szCs w:val="28"/>
        </w:rPr>
        <w:t xml:space="preserve"> Bộ Kế hoạch và Đầu tư (Tổng cục Thống kê).</w:t>
      </w:r>
    </w:p>
    <w:p w14:paraId="7152D36D" w14:textId="47311C72" w:rsidR="00F408D5" w:rsidRPr="006545AD" w:rsidRDefault="00125A76" w:rsidP="00923EF8">
      <w:pPr>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4.</w:t>
      </w:r>
      <w:r w:rsidR="009A51F4" w:rsidRPr="006545AD">
        <w:rPr>
          <w:rFonts w:ascii="Times New Roman" w:eastAsia="Times New Roman" w:hAnsi="Times New Roman" w:cs="Times New Roman"/>
          <w:b/>
          <w:sz w:val="28"/>
          <w:szCs w:val="28"/>
        </w:rPr>
        <w:t>17</w:t>
      </w:r>
      <w:r w:rsidR="006E7C70" w:rsidRPr="006545AD">
        <w:rPr>
          <w:rFonts w:ascii="Times New Roman" w:eastAsia="Times New Roman" w:hAnsi="Times New Roman" w:cs="Times New Roman"/>
          <w:b/>
          <w:sz w:val="28"/>
          <w:szCs w:val="28"/>
        </w:rPr>
        <w:t>. Chỉ số phát triển con người (HDI)</w:t>
      </w:r>
    </w:p>
    <w:p w14:paraId="79964029" w14:textId="77777777" w:rsidR="00AB209B" w:rsidRPr="006545AD" w:rsidRDefault="005B04E9" w:rsidP="00AB209B">
      <w:pPr>
        <w:shd w:val="clear" w:color="auto" w:fill="FFFFFF"/>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r>
      <w:r w:rsidR="00AB209B" w:rsidRPr="006545AD">
        <w:rPr>
          <w:rFonts w:ascii="Times New Roman" w:eastAsia="Times New Roman" w:hAnsi="Times New Roman" w:cs="Times New Roman"/>
          <w:b/>
          <w:sz w:val="28"/>
          <w:szCs w:val="28"/>
        </w:rPr>
        <w:t>1. Khái niệm, phương pháp tính</w:t>
      </w:r>
    </w:p>
    <w:p w14:paraId="6E47EFFB" w14:textId="3D728A16"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z w:val="28"/>
          <w:szCs w:val="28"/>
          <w:lang w:val="nl-NL"/>
        </w:rPr>
        <w:t>Chỉ số phát triển con người (HDI)</w:t>
      </w:r>
      <w:r w:rsidRPr="006545AD">
        <w:rPr>
          <w:rFonts w:ascii="Times New Roman" w:eastAsia="Times New Roman" w:hAnsi="Times New Roman" w:cs="Times New Roman"/>
          <w:b/>
          <w:sz w:val="28"/>
          <w:szCs w:val="28"/>
          <w:lang w:val="nl-NL"/>
        </w:rPr>
        <w:t xml:space="preserve"> </w:t>
      </w:r>
      <w:r w:rsidRPr="006545AD">
        <w:rPr>
          <w:rFonts w:ascii="Times New Roman" w:eastAsia="Times New Roman" w:hAnsi="Times New Roman" w:cs="Times New Roman"/>
          <w:sz w:val="28"/>
          <w:szCs w:val="28"/>
          <w:lang w:val="nl-NL"/>
        </w:rPr>
        <w:t xml:space="preserve">là thước đo tổng hợp phản ánh sự phát triển của con người trên các phương diện: Sức khỏe (thể hiện qua tuổi thọ trung bình tính từ lúc sinh); tri thức (thể hiện qua giáo dục) và thu nhập (thể hiện qua tổng thu nhập quốc gia bình quân đầu người). </w:t>
      </w:r>
    </w:p>
    <w:p w14:paraId="58CE5749"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rPr>
        <w:tab/>
      </w:r>
      <w:r w:rsidRPr="006545AD">
        <w:rPr>
          <w:rFonts w:ascii="Times New Roman" w:eastAsia="Times New Roman" w:hAnsi="Times New Roman" w:cs="Times New Roman"/>
          <w:sz w:val="28"/>
          <w:szCs w:val="28"/>
          <w:lang w:val="nl-NL"/>
        </w:rPr>
        <w:t>Chỉ số phát triển con người được tính theo công thức:</w:t>
      </w:r>
    </w:p>
    <w:p w14:paraId="7EF762F5" w14:textId="4E972936" w:rsidR="00AB209B" w:rsidRPr="006545AD" w:rsidRDefault="00AB209B" w:rsidP="009B7606">
      <w:pPr>
        <w:shd w:val="clear" w:color="auto" w:fill="FFFFFF"/>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HDI = </w:t>
      </w:r>
      <m:oMath>
        <m:rad>
          <m:radPr>
            <m:ctrlPr>
              <w:rPr>
                <w:rFonts w:ascii="Cambria Math" w:eastAsia="Times New Roman" w:hAnsi="Cambria Math" w:cs="Times New Roman"/>
                <w:i/>
                <w:sz w:val="28"/>
                <w:szCs w:val="28"/>
              </w:rPr>
            </m:ctrlPr>
          </m:radPr>
          <m:deg>
            <m:r>
              <w:rPr>
                <w:rFonts w:ascii="Cambria Math" w:eastAsia="Times New Roman" w:hAnsi="Cambria Math" w:cs="Times New Roman"/>
                <w:sz w:val="28"/>
                <w:szCs w:val="28"/>
              </w:rPr>
              <m:t>3</m:t>
            </m:r>
          </m:deg>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 xml:space="preserve">sức khỏe </m:t>
                </m:r>
              </m:sub>
            </m:sSub>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giáo dục</m:t>
                </m:r>
              </m:sub>
            </m:sSub>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thu nhập</m:t>
                </m:r>
              </m:sub>
            </m:sSub>
          </m:e>
        </m:rad>
      </m:oMath>
    </w:p>
    <w:p w14:paraId="739C503B" w14:textId="1814DC2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lang w:val="nl-NL"/>
        </w:rPr>
      </w:pPr>
      <w:r w:rsidRPr="006545AD">
        <w:rPr>
          <w:rFonts w:ascii="Times New Roman" w:eastAsia="Times New Roman" w:hAnsi="Times New Roman" w:cs="Times New Roman"/>
          <w:sz w:val="28"/>
          <w:szCs w:val="28"/>
          <w:lang w:val="nl-NL"/>
        </w:rPr>
        <w:tab/>
        <w:t>Trong đó:</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632"/>
      </w:tblGrid>
      <w:tr w:rsidR="00AB209B" w:rsidRPr="006545AD" w14:paraId="540ADAA7" w14:textId="77777777" w:rsidTr="005725BC">
        <w:trPr>
          <w:trHeight w:val="123"/>
          <w:jc w:val="center"/>
        </w:trPr>
        <w:tc>
          <w:tcPr>
            <w:tcW w:w="1418" w:type="dxa"/>
          </w:tcPr>
          <w:p w14:paraId="4EBED1C2" w14:textId="77777777" w:rsidR="00AB209B" w:rsidRPr="006545AD" w:rsidRDefault="00AB209B" w:rsidP="005725BC">
            <w:pPr>
              <w:shd w:val="clear" w:color="auto" w:fill="FFFFFF"/>
              <w:spacing w:before="60" w:after="60" w:line="360" w:lineRule="exact"/>
              <w:ind w:firstLine="31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HDI    : </w:t>
            </w:r>
          </w:p>
        </w:tc>
        <w:tc>
          <w:tcPr>
            <w:tcW w:w="7513" w:type="dxa"/>
          </w:tcPr>
          <w:p w14:paraId="0981CFBA"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phát triển con người;</w:t>
            </w:r>
          </w:p>
        </w:tc>
      </w:tr>
      <w:tr w:rsidR="00AB209B" w:rsidRPr="006545AD" w14:paraId="3BFAA199" w14:textId="77777777" w:rsidTr="005725BC">
        <w:trPr>
          <w:trHeight w:val="284"/>
          <w:jc w:val="center"/>
        </w:trPr>
        <w:tc>
          <w:tcPr>
            <w:tcW w:w="1418" w:type="dxa"/>
          </w:tcPr>
          <w:p w14:paraId="3F730878" w14:textId="77777777" w:rsidR="00AB209B" w:rsidRPr="006545AD" w:rsidRDefault="00AB209B" w:rsidP="005725BC">
            <w:pPr>
              <w:shd w:val="clear" w:color="auto" w:fill="FFFFFF"/>
              <w:spacing w:before="60" w:after="60" w:line="360" w:lineRule="exact"/>
              <w:ind w:firstLine="31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w:t>
            </w:r>
            <w:r w:rsidRPr="006545AD">
              <w:rPr>
                <w:rFonts w:ascii="Times New Roman" w:eastAsia="Times New Roman" w:hAnsi="Times New Roman" w:cs="Times New Roman"/>
                <w:i/>
                <w:sz w:val="28"/>
                <w:szCs w:val="28"/>
                <w:vertAlign w:val="subscript"/>
              </w:rPr>
              <w:t xml:space="preserve">sức khỏe </w:t>
            </w:r>
            <w:r w:rsidRPr="006545AD">
              <w:rPr>
                <w:rFonts w:ascii="Times New Roman" w:eastAsia="Times New Roman" w:hAnsi="Times New Roman" w:cs="Times New Roman"/>
                <w:sz w:val="28"/>
                <w:szCs w:val="28"/>
              </w:rPr>
              <w:t>:</w:t>
            </w:r>
          </w:p>
        </w:tc>
        <w:tc>
          <w:tcPr>
            <w:tcW w:w="7513" w:type="dxa"/>
          </w:tcPr>
          <w:p w14:paraId="3B18A83B"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sức khỏe, được tính thông qua chỉ tiêu tuổi thọ trung bình tính từ lúc sinh; còn được gọi là tuổi thọ bình quân hay triển vọng sống trung bình khi sinh;</w:t>
            </w:r>
          </w:p>
        </w:tc>
      </w:tr>
      <w:tr w:rsidR="00AB209B" w:rsidRPr="006545AD" w14:paraId="4D5089E5" w14:textId="77777777" w:rsidTr="005725BC">
        <w:trPr>
          <w:trHeight w:val="418"/>
          <w:jc w:val="center"/>
        </w:trPr>
        <w:tc>
          <w:tcPr>
            <w:tcW w:w="1418" w:type="dxa"/>
          </w:tcPr>
          <w:p w14:paraId="19162CF9" w14:textId="77777777" w:rsidR="00AB209B" w:rsidRPr="006545AD" w:rsidRDefault="00AB209B" w:rsidP="005725BC">
            <w:pPr>
              <w:shd w:val="clear" w:color="auto" w:fill="FFFFFF"/>
              <w:spacing w:before="60" w:after="60" w:line="360" w:lineRule="exact"/>
              <w:ind w:firstLine="31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w:t>
            </w:r>
            <w:r w:rsidRPr="006545AD">
              <w:rPr>
                <w:rFonts w:ascii="Times New Roman" w:eastAsia="Times New Roman" w:hAnsi="Times New Roman" w:cs="Times New Roman"/>
                <w:i/>
                <w:sz w:val="28"/>
                <w:szCs w:val="28"/>
                <w:vertAlign w:val="subscript"/>
              </w:rPr>
              <w:t xml:space="preserve">giáo dục </w:t>
            </w:r>
            <w:r w:rsidRPr="006545AD">
              <w:rPr>
                <w:rFonts w:ascii="Times New Roman" w:eastAsia="Times New Roman" w:hAnsi="Times New Roman" w:cs="Times New Roman"/>
                <w:sz w:val="28"/>
                <w:szCs w:val="28"/>
              </w:rPr>
              <w:t>:</w:t>
            </w:r>
          </w:p>
        </w:tc>
        <w:tc>
          <w:tcPr>
            <w:tcW w:w="7513" w:type="dxa"/>
          </w:tcPr>
          <w:p w14:paraId="02C7FD64"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giáo dục, được tính thông qua 2 chỉ tiêu: Số năm đi học bình quân của những người từ 25 tuổi trở lên và số năm đi học kỳ vọng của trẻ em trong độ tuổi đi học;</w:t>
            </w:r>
          </w:p>
        </w:tc>
      </w:tr>
      <w:tr w:rsidR="00AB209B" w:rsidRPr="006545AD" w14:paraId="5D0B4792" w14:textId="77777777" w:rsidTr="005725BC">
        <w:trPr>
          <w:trHeight w:val="473"/>
          <w:jc w:val="center"/>
        </w:trPr>
        <w:tc>
          <w:tcPr>
            <w:tcW w:w="1418" w:type="dxa"/>
          </w:tcPr>
          <w:p w14:paraId="25C6E23F" w14:textId="77777777" w:rsidR="00AB209B" w:rsidRPr="006545AD" w:rsidRDefault="00AB209B" w:rsidP="005725BC">
            <w:pPr>
              <w:shd w:val="clear" w:color="auto" w:fill="FFFFFF"/>
              <w:spacing w:before="60" w:after="60" w:line="360" w:lineRule="exact"/>
              <w:ind w:firstLine="318"/>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w:t>
            </w:r>
            <w:r w:rsidRPr="006545AD">
              <w:rPr>
                <w:rFonts w:ascii="Times New Roman" w:eastAsia="Times New Roman" w:hAnsi="Times New Roman" w:cs="Times New Roman"/>
                <w:i/>
                <w:sz w:val="28"/>
                <w:szCs w:val="28"/>
                <w:vertAlign w:val="subscript"/>
              </w:rPr>
              <w:t>thu nhập</w:t>
            </w:r>
            <w:r w:rsidRPr="006545AD">
              <w:rPr>
                <w:rFonts w:ascii="Times New Roman" w:eastAsia="Times New Roman" w:hAnsi="Times New Roman" w:cs="Times New Roman"/>
                <w:i/>
                <w:sz w:val="28"/>
                <w:szCs w:val="28"/>
              </w:rPr>
              <w:t xml:space="preserve"> </w:t>
            </w:r>
            <w:r w:rsidRPr="006545AD">
              <w:rPr>
                <w:rFonts w:ascii="Times New Roman" w:eastAsia="Times New Roman" w:hAnsi="Times New Roman" w:cs="Times New Roman"/>
                <w:sz w:val="28"/>
                <w:szCs w:val="28"/>
              </w:rPr>
              <w:t>:</w:t>
            </w:r>
          </w:p>
        </w:tc>
        <w:tc>
          <w:tcPr>
            <w:tcW w:w="7513" w:type="dxa"/>
          </w:tcPr>
          <w:p w14:paraId="59E26360"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thu nhập, được tính thông qua chỉ tiêu tổng thu nhập quốc gia (GNI) bình quân đầu người theo sức mua tương đương (PPP).</w:t>
            </w:r>
          </w:p>
        </w:tc>
      </w:tr>
    </w:tbl>
    <w:p w14:paraId="14C582E2" w14:textId="734E8E58"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HDI nhận giá trị trong khoảng từ 0 đến 1 (0 ≤ HDI ≤ 1). HDI đạt tối đa bằng 1, thể hiện trình độ phát triển con người ở mức lý tưởng; HDI tối thiểu bằng 0, thể hiện xã hội không có sự phát triển mang tính nhân văn. Căn cứ giá trị HDI, UNDP đã đưa ra Bảng xếp hạng phát triển con người của các quốc gia, vùng lãnh thổ hoặc các vùng, miền, địa phương, bộ phận dân cư trên địa bàn của một quốc gia, vùng lãnh thổ theo 4 nhóm:</w:t>
      </w:r>
    </w:p>
    <w:p w14:paraId="783ADF94" w14:textId="27B7BF6E"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Nhóm 1: Đạt mức rất cao với HDI ≥ 0,800;</w:t>
      </w:r>
    </w:p>
    <w:p w14:paraId="05A03BE9" w14:textId="4F37A35F"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Nhóm 2: Đạt mức cao với 0,700 ≤ HDI &lt; 0,800;</w:t>
      </w:r>
    </w:p>
    <w:p w14:paraId="6F2718F5" w14:textId="24834722"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Nhóm 3: Đạt mức trung bình với 0,550 ≤ HDI &lt; 0,700;</w:t>
      </w:r>
    </w:p>
    <w:p w14:paraId="49F55B80" w14:textId="5B4CB21A"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Nhóm 4: Đạt mức thấp với HDI &lt; 0,550.</w:t>
      </w:r>
    </w:p>
    <w:p w14:paraId="64C417F0" w14:textId="2859659D"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b/>
          <w:i/>
          <w:sz w:val="28"/>
          <w:szCs w:val="28"/>
        </w:rPr>
      </w:pPr>
      <w:r w:rsidRPr="006545AD">
        <w:rPr>
          <w:rFonts w:ascii="Times New Roman" w:eastAsia="Times New Roman" w:hAnsi="Times New Roman" w:cs="Times New Roman"/>
          <w:b/>
          <w:i/>
          <w:sz w:val="28"/>
          <w:szCs w:val="28"/>
        </w:rPr>
        <w:tab/>
        <w:t>Phương pháp tính chỉ số thành phần</w:t>
      </w:r>
    </w:p>
    <w:p w14:paraId="51D7353E" w14:textId="089C0D88"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a) Chỉ số sức khỏe</w:t>
      </w:r>
    </w:p>
    <w:tbl>
      <w:tblPr>
        <w:tblStyle w:val="TableGrid"/>
        <w:tblW w:w="769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32"/>
        <w:gridCol w:w="374"/>
        <w:gridCol w:w="1969"/>
        <w:gridCol w:w="374"/>
        <w:gridCol w:w="1461"/>
        <w:gridCol w:w="2189"/>
      </w:tblGrid>
      <w:tr w:rsidR="00AB209B" w:rsidRPr="006545AD" w14:paraId="027DC1D2" w14:textId="77777777" w:rsidTr="009B7606">
        <w:trPr>
          <w:gridAfter w:val="1"/>
          <w:wAfter w:w="2283" w:type="dxa"/>
          <w:jc w:val="center"/>
        </w:trPr>
        <w:tc>
          <w:tcPr>
            <w:tcW w:w="1278" w:type="dxa"/>
            <w:vMerge w:val="restart"/>
            <w:tcBorders>
              <w:top w:val="nil"/>
              <w:bottom w:val="nil"/>
            </w:tcBorders>
            <w:vAlign w:val="center"/>
          </w:tcPr>
          <w:p w14:paraId="48226A4F" w14:textId="10F6DBB3"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sức khỏe</m:t>
                    </m:r>
                  </m:sub>
                </m:sSub>
              </m:oMath>
            </m:oMathPara>
          </w:p>
        </w:tc>
        <w:tc>
          <w:tcPr>
            <w:tcW w:w="277" w:type="dxa"/>
            <w:vMerge w:val="restart"/>
            <w:tcBorders>
              <w:top w:val="nil"/>
              <w:bottom w:val="nil"/>
            </w:tcBorders>
            <w:vAlign w:val="center"/>
          </w:tcPr>
          <w:p w14:paraId="6B5529EB"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006" w:type="dxa"/>
            <w:tcBorders>
              <w:top w:val="nil"/>
              <w:bottom w:val="single" w:sz="4" w:space="0" w:color="auto"/>
            </w:tcBorders>
            <w:vAlign w:val="center"/>
          </w:tcPr>
          <w:p w14:paraId="3D3618AD" w14:textId="04480110"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r>
                      <w:rPr>
                        <w:rFonts w:ascii="Cambria Math" w:eastAsia="Times New Roman" w:hAnsi="Cambria Math" w:cs="Times New Roman"/>
                        <w:sz w:val="28"/>
                        <w:szCs w:val="28"/>
                      </w:rPr>
                      <m:t>thực</m:t>
                    </m:r>
                  </m:sup>
                </m:sSubSup>
                <m:r>
                  <w:rPr>
                    <w:rFonts w:ascii="Cambria Math" w:eastAsia="Times New Roman" w:hAnsi="Cambria Math" w:cs="Times New Roman"/>
                    <w:sz w:val="28"/>
                    <w:szCs w:val="28"/>
                  </w:rPr>
                  <m:t xml:space="preserve"> -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r>
                      <w:rPr>
                        <w:rFonts w:ascii="Cambria Math" w:eastAsia="Times New Roman" w:hAnsi="Cambria Math" w:cs="Times New Roman"/>
                        <w:sz w:val="28"/>
                        <w:szCs w:val="28"/>
                      </w:rPr>
                      <m:t>min</m:t>
                    </m:r>
                  </m:sup>
                </m:sSubSup>
              </m:oMath>
            </m:oMathPara>
          </w:p>
        </w:tc>
        <w:tc>
          <w:tcPr>
            <w:tcW w:w="374" w:type="dxa"/>
            <w:vMerge w:val="restart"/>
            <w:tcBorders>
              <w:top w:val="nil"/>
              <w:bottom w:val="single" w:sz="4" w:space="0" w:color="auto"/>
            </w:tcBorders>
            <w:vAlign w:val="center"/>
          </w:tcPr>
          <w:p w14:paraId="5F5D8BDF"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481" w:type="dxa"/>
            <w:tcBorders>
              <w:top w:val="nil"/>
              <w:bottom w:val="single" w:sz="4" w:space="0" w:color="auto"/>
            </w:tcBorders>
            <w:vAlign w:val="center"/>
          </w:tcPr>
          <w:p w14:paraId="22CBE0DA" w14:textId="5A2C79BA"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r>
                    <w:rPr>
                      <w:rFonts w:ascii="Cambria Math" w:eastAsia="Times New Roman" w:hAnsi="Cambria Math" w:cs="Times New Roman"/>
                      <w:sz w:val="28"/>
                      <w:szCs w:val="28"/>
                    </w:rPr>
                    <m:t>thực</m:t>
                  </m:r>
                </m:sup>
              </m:sSubSup>
            </m:oMath>
            <w:r w:rsidR="00AB209B" w:rsidRPr="006545AD">
              <w:rPr>
                <w:rFonts w:ascii="Times New Roman" w:eastAsia="Times New Roman" w:hAnsi="Times New Roman" w:cs="Times New Roman"/>
                <w:sz w:val="28"/>
                <w:szCs w:val="28"/>
              </w:rPr>
              <w:t>– 20</w:t>
            </w:r>
          </w:p>
        </w:tc>
      </w:tr>
      <w:tr w:rsidR="00AB209B" w:rsidRPr="006545AD" w14:paraId="5A4E1BC7" w14:textId="77777777" w:rsidTr="009B7606">
        <w:trPr>
          <w:gridAfter w:val="1"/>
          <w:wAfter w:w="2283" w:type="dxa"/>
          <w:jc w:val="center"/>
        </w:trPr>
        <w:tc>
          <w:tcPr>
            <w:tcW w:w="1278" w:type="dxa"/>
            <w:vMerge/>
            <w:tcBorders>
              <w:top w:val="nil"/>
              <w:bottom w:val="nil"/>
            </w:tcBorders>
            <w:vAlign w:val="center"/>
          </w:tcPr>
          <w:p w14:paraId="2D8158BA"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277" w:type="dxa"/>
            <w:vMerge/>
            <w:tcBorders>
              <w:top w:val="nil"/>
              <w:bottom w:val="nil"/>
            </w:tcBorders>
            <w:vAlign w:val="center"/>
          </w:tcPr>
          <w:p w14:paraId="56359D54"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2006" w:type="dxa"/>
            <w:tcBorders>
              <w:top w:val="single" w:sz="4" w:space="0" w:color="auto"/>
              <w:bottom w:val="nil"/>
            </w:tcBorders>
            <w:vAlign w:val="center"/>
          </w:tcPr>
          <w:p w14:paraId="61E1947A" w14:textId="3D7EEFD9"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r>
                      <w:rPr>
                        <w:rFonts w:ascii="Cambria Math" w:eastAsia="Times New Roman" w:hAnsi="Cambria Math" w:cs="Times New Roman"/>
                        <w:sz w:val="28"/>
                        <w:szCs w:val="28"/>
                      </w:rPr>
                      <m:t>max</m:t>
                    </m:r>
                  </m:sup>
                </m:sSubSup>
                <m:r>
                  <w:rPr>
                    <w:rFonts w:ascii="Cambria Math" w:eastAsia="Times New Roman" w:hAnsi="Cambria Math" w:cs="Times New Roman"/>
                    <w:sz w:val="28"/>
                    <w:szCs w:val="28"/>
                  </w:rPr>
                  <m:t xml:space="preserve">-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r>
                      <w:rPr>
                        <w:rFonts w:ascii="Cambria Math" w:eastAsia="Times New Roman" w:hAnsi="Cambria Math" w:cs="Times New Roman"/>
                        <w:sz w:val="28"/>
                        <w:szCs w:val="28"/>
                      </w:rPr>
                      <m:t>min</m:t>
                    </m:r>
                  </m:sup>
                </m:sSubSup>
              </m:oMath>
            </m:oMathPara>
          </w:p>
        </w:tc>
        <w:tc>
          <w:tcPr>
            <w:tcW w:w="374" w:type="dxa"/>
            <w:vMerge/>
            <w:tcBorders>
              <w:top w:val="single" w:sz="4" w:space="0" w:color="auto"/>
              <w:bottom w:val="nil"/>
            </w:tcBorders>
          </w:tcPr>
          <w:p w14:paraId="2609FAEB"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1481" w:type="dxa"/>
            <w:tcBorders>
              <w:top w:val="single" w:sz="4" w:space="0" w:color="auto"/>
              <w:bottom w:val="nil"/>
            </w:tcBorders>
            <w:vAlign w:val="center"/>
          </w:tcPr>
          <w:p w14:paraId="67EBC0BE"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85 – 20</w:t>
            </w:r>
          </w:p>
        </w:tc>
      </w:tr>
      <w:tr w:rsidR="00AB209B" w:rsidRPr="006545AD" w14:paraId="07ACBE63" w14:textId="77777777" w:rsidTr="009B7606">
        <w:tblPrEx>
          <w:tblBorders>
            <w:insideH w:val="none" w:sz="0" w:space="0" w:color="auto"/>
          </w:tblBorders>
        </w:tblPrEx>
        <w:trPr>
          <w:jc w:val="center"/>
        </w:trPr>
        <w:tc>
          <w:tcPr>
            <w:tcW w:w="7699" w:type="dxa"/>
            <w:gridSpan w:val="6"/>
          </w:tcPr>
          <w:p w14:paraId="018C8A92" w14:textId="77777777" w:rsidR="00AB209B" w:rsidRPr="006545AD" w:rsidRDefault="00AB209B" w:rsidP="00AB209B">
            <w:pPr>
              <w:shd w:val="clear" w:color="auto" w:fill="FFFFFF"/>
              <w:spacing w:before="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Trong đó:</w:t>
            </w:r>
          </w:p>
        </w:tc>
      </w:tr>
      <w:tr w:rsidR="00AB209B" w:rsidRPr="006545AD" w14:paraId="65F60D9D" w14:textId="77777777" w:rsidTr="009B7606">
        <w:tblPrEx>
          <w:tblBorders>
            <w:insideH w:val="none" w:sz="0" w:space="0" w:color="auto"/>
          </w:tblBorders>
        </w:tblPrEx>
        <w:trPr>
          <w:trHeight w:val="110"/>
          <w:jc w:val="center"/>
        </w:trPr>
        <w:tc>
          <w:tcPr>
            <w:tcW w:w="1276" w:type="dxa"/>
            <w:vAlign w:val="center"/>
          </w:tcPr>
          <w:p w14:paraId="09108A0D" w14:textId="74ADEF4F" w:rsidR="00AB209B" w:rsidRPr="006545AD" w:rsidRDefault="00EF5502" w:rsidP="005725BC">
            <w:pPr>
              <w:shd w:val="clear" w:color="auto" w:fill="FFFFFF"/>
              <w:spacing w:before="60" w:after="60" w:line="360" w:lineRule="exact"/>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I</m:t>
                    </m:r>
                  </m:e>
                  <m:sub>
                    <m:r>
                      <w:rPr>
                        <w:rFonts w:ascii="Cambria Math" w:eastAsia="Times New Roman" w:hAnsi="Cambria Math" w:cs="Times New Roman"/>
                        <w:sz w:val="28"/>
                        <w:szCs w:val="28"/>
                      </w:rPr>
                      <m:t xml:space="preserve">sức khỏe </m:t>
                    </m:r>
                  </m:sub>
                </m:sSub>
                <m:r>
                  <m:rPr>
                    <m:sty m:val="p"/>
                  </m:rPr>
                  <w:rPr>
                    <w:rFonts w:ascii="Cambria Math" w:eastAsia="Times New Roman" w:hAnsi="Cambria Math" w:cs="Times New Roman"/>
                    <w:sz w:val="28"/>
                    <w:szCs w:val="28"/>
                  </w:rPr>
                  <m:t>:</m:t>
                </m:r>
              </m:oMath>
            </m:oMathPara>
          </w:p>
        </w:tc>
        <w:tc>
          <w:tcPr>
            <w:tcW w:w="6423" w:type="dxa"/>
            <w:gridSpan w:val="5"/>
            <w:vAlign w:val="center"/>
          </w:tcPr>
          <w:p w14:paraId="5A8CC889" w14:textId="77777777" w:rsidR="00AB209B" w:rsidRPr="006545AD" w:rsidRDefault="00AB209B" w:rsidP="005725BC">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sức khỏe;</w:t>
            </w:r>
          </w:p>
        </w:tc>
      </w:tr>
      <w:tr w:rsidR="00AB209B" w:rsidRPr="006545AD" w14:paraId="6EA74370" w14:textId="77777777" w:rsidTr="009B7606">
        <w:tblPrEx>
          <w:tblBorders>
            <w:insideH w:val="none" w:sz="0" w:space="0" w:color="auto"/>
          </w:tblBorders>
        </w:tblPrEx>
        <w:trPr>
          <w:trHeight w:val="319"/>
          <w:jc w:val="center"/>
        </w:trPr>
        <w:tc>
          <w:tcPr>
            <w:tcW w:w="1276" w:type="dxa"/>
            <w:vAlign w:val="center"/>
          </w:tcPr>
          <w:p w14:paraId="2B754077" w14:textId="03109736" w:rsidR="00AB209B" w:rsidRPr="006545AD" w:rsidRDefault="00EF5502" w:rsidP="005725BC">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r>
                    <w:rPr>
                      <w:rFonts w:ascii="Cambria Math" w:eastAsia="Times New Roman" w:hAnsi="Cambria Math" w:cs="Times New Roman"/>
                      <w:sz w:val="28"/>
                      <w:szCs w:val="28"/>
                    </w:rPr>
                    <m:t xml:space="preserve">thực      </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6423" w:type="dxa"/>
            <w:gridSpan w:val="5"/>
            <w:vAlign w:val="center"/>
          </w:tcPr>
          <w:p w14:paraId="4C36D572" w14:textId="77777777" w:rsidR="00AB209B" w:rsidRPr="006545AD" w:rsidRDefault="00AB209B" w:rsidP="005725BC">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Tuổi thọ trung bình tính từ lúc sinh thực tế đã đạt được;</w:t>
            </w:r>
          </w:p>
        </w:tc>
      </w:tr>
      <w:tr w:rsidR="00AB209B" w:rsidRPr="006545AD" w14:paraId="33C0E211" w14:textId="77777777" w:rsidTr="009B7606">
        <w:tblPrEx>
          <w:tblBorders>
            <w:insideH w:val="none" w:sz="0" w:space="0" w:color="auto"/>
          </w:tblBorders>
        </w:tblPrEx>
        <w:trPr>
          <w:trHeight w:val="292"/>
          <w:jc w:val="center"/>
        </w:trPr>
        <w:tc>
          <w:tcPr>
            <w:tcW w:w="1276" w:type="dxa"/>
            <w:vAlign w:val="center"/>
          </w:tcPr>
          <w:p w14:paraId="21D31567" w14:textId="6A8EED31" w:rsidR="00AB209B" w:rsidRPr="006545AD" w:rsidRDefault="00EF5502" w:rsidP="005725BC">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min</m:t>
                      </m:r>
                    </m:fName>
                    <m:e>
                      <m:r>
                        <w:rPr>
                          <w:rFonts w:ascii="Cambria Math" w:eastAsia="Times New Roman" w:hAnsi="Cambria Math" w:cs="Times New Roman"/>
                          <w:sz w:val="28"/>
                          <w:szCs w:val="28"/>
                        </w:rPr>
                        <m:t xml:space="preserve">      </m:t>
                      </m:r>
                    </m:e>
                  </m:func>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6423" w:type="dxa"/>
            <w:gridSpan w:val="5"/>
            <w:vAlign w:val="center"/>
          </w:tcPr>
          <w:p w14:paraId="39E8D1AE" w14:textId="77777777" w:rsidR="00AB209B" w:rsidRPr="006545AD" w:rsidRDefault="00AB209B" w:rsidP="005725BC">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Tuổi thọ trung bình tính từ lúc sinh tối thiểu với mức cố định là 20 năm;</w:t>
            </w:r>
          </w:p>
        </w:tc>
      </w:tr>
      <w:tr w:rsidR="00AB209B" w:rsidRPr="006545AD" w14:paraId="38E82B8D" w14:textId="77777777" w:rsidTr="009B7606">
        <w:tblPrEx>
          <w:tblBorders>
            <w:insideH w:val="none" w:sz="0" w:space="0" w:color="auto"/>
          </w:tblBorders>
        </w:tblPrEx>
        <w:trPr>
          <w:trHeight w:val="333"/>
          <w:jc w:val="center"/>
        </w:trPr>
        <w:tc>
          <w:tcPr>
            <w:tcW w:w="1276" w:type="dxa"/>
            <w:vAlign w:val="center"/>
          </w:tcPr>
          <w:p w14:paraId="09AD888F" w14:textId="20032DD8" w:rsidR="00AB209B" w:rsidRPr="006545AD" w:rsidRDefault="00EF5502" w:rsidP="005725BC">
            <w:pPr>
              <w:shd w:val="clear" w:color="auto" w:fill="FFFFFF"/>
              <w:spacing w:before="60" w:after="60" w:line="360" w:lineRule="exact"/>
              <w:jc w:val="both"/>
              <w:rPr>
                <w:rFonts w:ascii="Times New Roman" w:eastAsia="Times New Roman" w:hAnsi="Times New Roman" w:cs="Times New Roman"/>
                <w:sz w:val="28"/>
                <w:szCs w:val="28"/>
                <w:vertAlign w:val="subscript"/>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tuổi</m:t>
                  </m:r>
                </m:sub>
                <m:sup>
                  <m:r>
                    <w:rPr>
                      <w:rFonts w:ascii="Cambria Math" w:eastAsia="Times New Roman" w:hAnsi="Cambria Math" w:cs="Times New Roman"/>
                      <w:sz w:val="28"/>
                      <w:szCs w:val="28"/>
                    </w:rPr>
                    <m:t>max</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6423" w:type="dxa"/>
            <w:gridSpan w:val="5"/>
            <w:vAlign w:val="center"/>
          </w:tcPr>
          <w:p w14:paraId="615C9C61" w14:textId="77777777" w:rsidR="00AB209B" w:rsidRPr="006545AD" w:rsidRDefault="00AB209B" w:rsidP="005725BC">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Tuổi thọ trung bình tính từ lúc sinh tối đa với mức cố định là 85 năm.</w:t>
            </w:r>
          </w:p>
        </w:tc>
      </w:tr>
    </w:tbl>
    <w:p w14:paraId="3DDB92CB" w14:textId="7068C1E2"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b) Chỉ số giáo dục</w:t>
      </w:r>
    </w:p>
    <w:p w14:paraId="2B9B5608" w14:textId="7DE2FC6D"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Chỉ số giáo dục được tính thông qua 02 chỉ tiêu: </w:t>
      </w:r>
    </w:p>
    <w:p w14:paraId="0140340C" w14:textId="07FACF39"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 Số năm đi học bình quân của những người từ 25 tuổi trở lên; </w:t>
      </w:r>
    </w:p>
    <w:p w14:paraId="17195A3F" w14:textId="3BEC674B"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 Số năm đi học kỳ vọng của trẻ em trong độ tuổi đi học. </w:t>
      </w:r>
    </w:p>
    <w:p w14:paraId="42A7EAF8" w14:textId="77437AD0"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Tương ứng với hai chỉ tiêu có hai chỉ số cần tính toán. Do để xác định giá trị của chỉ số giáo dục cấu thành HDI phải tiến hành qua 3 bước:</w:t>
      </w:r>
    </w:p>
    <w:p w14:paraId="3EEE0765" w14:textId="72CB8435"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i/>
          <w:sz w:val="28"/>
          <w:szCs w:val="28"/>
        </w:rPr>
      </w:pPr>
      <w:r w:rsidRPr="006545AD">
        <w:rPr>
          <w:rFonts w:ascii="Times New Roman" w:eastAsia="Times New Roman" w:hAnsi="Times New Roman" w:cs="Times New Roman"/>
          <w:i/>
          <w:sz w:val="28"/>
          <w:szCs w:val="28"/>
        </w:rPr>
        <w:tab/>
        <w:t>Bước 1: Tính chỉ số số năm đi học bình quân của những người từ 25 tuổi trở lên (sau đây gọi tắt là số năm đi học bình quân) theo công thức:</w:t>
      </w:r>
    </w:p>
    <w:tbl>
      <w:tblPr>
        <w:tblStyle w:val="TableGrid"/>
        <w:tblW w:w="6942" w:type="dxa"/>
        <w:tblInd w:w="14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7"/>
        <w:gridCol w:w="374"/>
        <w:gridCol w:w="1955"/>
        <w:gridCol w:w="374"/>
        <w:gridCol w:w="1453"/>
        <w:gridCol w:w="376"/>
        <w:gridCol w:w="1133"/>
      </w:tblGrid>
      <w:tr w:rsidR="00AB209B" w:rsidRPr="006545AD" w14:paraId="25B22DFE" w14:textId="77777777" w:rsidTr="00C00AA2">
        <w:tc>
          <w:tcPr>
            <w:tcW w:w="1278" w:type="dxa"/>
            <w:vMerge w:val="restart"/>
            <w:vAlign w:val="center"/>
          </w:tcPr>
          <w:p w14:paraId="4C9E8103" w14:textId="38E5BBA9"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bình quân</m:t>
                    </m:r>
                  </m:sub>
                </m:sSub>
              </m:oMath>
            </m:oMathPara>
          </w:p>
        </w:tc>
        <w:tc>
          <w:tcPr>
            <w:tcW w:w="277" w:type="dxa"/>
            <w:vMerge w:val="restart"/>
            <w:vAlign w:val="center"/>
          </w:tcPr>
          <w:p w14:paraId="77C82954"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006" w:type="dxa"/>
            <w:vAlign w:val="center"/>
          </w:tcPr>
          <w:p w14:paraId="54E6622B" w14:textId="12896EAF"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thực</m:t>
                    </m:r>
                  </m:sup>
                </m:sSubSup>
                <m:r>
                  <w:rPr>
                    <w:rFonts w:ascii="Cambria Math" w:eastAsia="Times New Roman" w:hAnsi="Cambria Math" w:cs="Times New Roman"/>
                    <w:sz w:val="28"/>
                    <w:szCs w:val="28"/>
                  </w:rPr>
                  <m:t xml:space="preserve"> -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min</m:t>
                    </m:r>
                  </m:sup>
                </m:sSubSup>
              </m:oMath>
            </m:oMathPara>
          </w:p>
        </w:tc>
        <w:tc>
          <w:tcPr>
            <w:tcW w:w="374" w:type="dxa"/>
            <w:vMerge w:val="restart"/>
            <w:vAlign w:val="center"/>
          </w:tcPr>
          <w:p w14:paraId="2550DFC4"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481" w:type="dxa"/>
            <w:vAlign w:val="center"/>
          </w:tcPr>
          <w:p w14:paraId="2AA53B5F" w14:textId="49AB0864"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thực</m:t>
                  </m:r>
                </m:sup>
              </m:sSubSup>
            </m:oMath>
            <w:r w:rsidR="00AB209B" w:rsidRPr="006545AD">
              <w:rPr>
                <w:rFonts w:ascii="Times New Roman" w:eastAsia="Times New Roman" w:hAnsi="Times New Roman" w:cs="Times New Roman"/>
                <w:sz w:val="28"/>
                <w:szCs w:val="28"/>
              </w:rPr>
              <w:t>– 0</w:t>
            </w:r>
          </w:p>
        </w:tc>
        <w:tc>
          <w:tcPr>
            <w:tcW w:w="376" w:type="dxa"/>
            <w:vMerge w:val="restart"/>
            <w:vAlign w:val="center"/>
          </w:tcPr>
          <w:p w14:paraId="1FE364D6"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150" w:type="dxa"/>
            <w:vAlign w:val="center"/>
          </w:tcPr>
          <w:p w14:paraId="71A0177E" w14:textId="1AD2107C"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thực</m:t>
                    </m:r>
                  </m:sup>
                </m:sSubSup>
              </m:oMath>
            </m:oMathPara>
          </w:p>
        </w:tc>
      </w:tr>
      <w:tr w:rsidR="00AB209B" w:rsidRPr="006545AD" w14:paraId="30429CE6" w14:textId="77777777" w:rsidTr="00C00AA2">
        <w:tc>
          <w:tcPr>
            <w:tcW w:w="1278" w:type="dxa"/>
            <w:vMerge/>
            <w:vAlign w:val="center"/>
          </w:tcPr>
          <w:p w14:paraId="3F9B2E6F"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277" w:type="dxa"/>
            <w:vMerge/>
            <w:vAlign w:val="center"/>
          </w:tcPr>
          <w:p w14:paraId="3F5124E7"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2006" w:type="dxa"/>
            <w:vAlign w:val="center"/>
          </w:tcPr>
          <w:p w14:paraId="27017DD2" w14:textId="2E8044C5"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max</m:t>
                    </m:r>
                  </m:sup>
                </m:sSubSup>
                <m:r>
                  <w:rPr>
                    <w:rFonts w:ascii="Cambria Math" w:eastAsia="Times New Roman" w:hAnsi="Cambria Math" w:cs="Times New Roman"/>
                    <w:sz w:val="28"/>
                    <w:szCs w:val="28"/>
                  </w:rPr>
                  <m:t xml:space="preserve">-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min</m:t>
                    </m:r>
                  </m:sup>
                </m:sSubSup>
              </m:oMath>
            </m:oMathPara>
          </w:p>
        </w:tc>
        <w:tc>
          <w:tcPr>
            <w:tcW w:w="374" w:type="dxa"/>
            <w:vMerge/>
          </w:tcPr>
          <w:p w14:paraId="7F44BB33"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1481" w:type="dxa"/>
            <w:vAlign w:val="center"/>
          </w:tcPr>
          <w:p w14:paraId="0ACE9289"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15 – 0</w:t>
            </w:r>
          </w:p>
        </w:tc>
        <w:tc>
          <w:tcPr>
            <w:tcW w:w="376" w:type="dxa"/>
            <w:vMerge/>
          </w:tcPr>
          <w:p w14:paraId="31D840C0"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1150" w:type="dxa"/>
            <w:vAlign w:val="center"/>
          </w:tcPr>
          <w:p w14:paraId="5038DB51"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15</w:t>
            </w:r>
          </w:p>
        </w:tc>
      </w:tr>
    </w:tbl>
    <w:p w14:paraId="068A01AB"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i/>
          <w:sz w:val="28"/>
          <w:szCs w:val="28"/>
        </w:rPr>
      </w:pPr>
      <w:r w:rsidRPr="006545AD">
        <w:rPr>
          <w:rFonts w:ascii="Times New Roman" w:eastAsia="Times New Roman" w:hAnsi="Times New Roman" w:cs="Times New Roman"/>
          <w:sz w:val="28"/>
          <w:szCs w:val="28"/>
        </w:rPr>
        <w:tab/>
        <w:t>Trong đó:</w:t>
      </w:r>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6988"/>
      </w:tblGrid>
      <w:tr w:rsidR="00AB209B" w:rsidRPr="006545AD" w14:paraId="1712F248" w14:textId="77777777" w:rsidTr="00C00AA2">
        <w:trPr>
          <w:trHeight w:val="190"/>
          <w:jc w:val="center"/>
        </w:trPr>
        <w:tc>
          <w:tcPr>
            <w:tcW w:w="1280" w:type="dxa"/>
            <w:vAlign w:val="center"/>
          </w:tcPr>
          <w:p w14:paraId="776EB5FD" w14:textId="79F90EA4" w:rsidR="00AB209B" w:rsidRPr="006545AD" w:rsidRDefault="00EF5502" w:rsidP="00EE43C6">
            <w:pPr>
              <w:shd w:val="clear" w:color="auto" w:fill="FFFFFF"/>
              <w:spacing w:before="60" w:after="60" w:line="360" w:lineRule="exact"/>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bình quân</m:t>
                    </m:r>
                  </m:sub>
                </m:sSub>
                <m:r>
                  <m:rPr>
                    <m:sty m:val="p"/>
                  </m:rPr>
                  <w:rPr>
                    <w:rFonts w:ascii="Cambria Math" w:eastAsia="Times New Roman" w:hAnsi="Cambria Math" w:cs="Times New Roman"/>
                    <w:sz w:val="28"/>
                    <w:szCs w:val="28"/>
                  </w:rPr>
                  <m:t>:</m:t>
                </m:r>
              </m:oMath>
            </m:oMathPara>
          </w:p>
        </w:tc>
        <w:tc>
          <w:tcPr>
            <w:tcW w:w="7084" w:type="dxa"/>
            <w:vAlign w:val="center"/>
          </w:tcPr>
          <w:p w14:paraId="6D48A5F1" w14:textId="77777777" w:rsidR="00AB209B" w:rsidRPr="006545AD" w:rsidRDefault="00AB209B" w:rsidP="00EE43C6">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số năm đi học bình quân;</w:t>
            </w:r>
          </w:p>
        </w:tc>
      </w:tr>
      <w:tr w:rsidR="00AB209B" w:rsidRPr="006545AD" w14:paraId="6B25AA35" w14:textId="77777777" w:rsidTr="00C00AA2">
        <w:trPr>
          <w:trHeight w:val="65"/>
          <w:jc w:val="center"/>
        </w:trPr>
        <w:tc>
          <w:tcPr>
            <w:tcW w:w="1280" w:type="dxa"/>
            <w:vAlign w:val="center"/>
          </w:tcPr>
          <w:p w14:paraId="4CE58501" w14:textId="56CEBD02" w:rsidR="00AB209B" w:rsidRPr="006545AD" w:rsidRDefault="00EF5502" w:rsidP="00EE43C6">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thực</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7084" w:type="dxa"/>
            <w:vAlign w:val="center"/>
          </w:tcPr>
          <w:p w14:paraId="1C2C50D5" w14:textId="77777777" w:rsidR="00AB209B" w:rsidRPr="006545AD" w:rsidRDefault="00AB209B" w:rsidP="00EE43C6">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năm đi học bình quân thực tế đã đạt được;</w:t>
            </w:r>
          </w:p>
        </w:tc>
      </w:tr>
      <w:tr w:rsidR="00AB209B" w:rsidRPr="006545AD" w14:paraId="748A514E" w14:textId="77777777" w:rsidTr="00C00AA2">
        <w:trPr>
          <w:trHeight w:val="198"/>
          <w:jc w:val="center"/>
        </w:trPr>
        <w:tc>
          <w:tcPr>
            <w:tcW w:w="1280" w:type="dxa"/>
            <w:vAlign w:val="center"/>
          </w:tcPr>
          <w:p w14:paraId="1EFFA140" w14:textId="025262A2" w:rsidR="00AB209B" w:rsidRPr="006545AD" w:rsidRDefault="00EF5502" w:rsidP="00EE43C6">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 xml:space="preserve">min </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7084" w:type="dxa"/>
            <w:vAlign w:val="center"/>
          </w:tcPr>
          <w:p w14:paraId="4FD9E09A" w14:textId="77777777" w:rsidR="00AB209B" w:rsidRPr="006545AD" w:rsidRDefault="00AB209B" w:rsidP="00EE43C6">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năm đi học bình quân tối thiểu với mức cố định là 0;</w:t>
            </w:r>
          </w:p>
        </w:tc>
      </w:tr>
      <w:tr w:rsidR="00AB209B" w:rsidRPr="006545AD" w14:paraId="4D566200" w14:textId="77777777" w:rsidTr="00C00AA2">
        <w:trPr>
          <w:trHeight w:val="20"/>
          <w:jc w:val="center"/>
        </w:trPr>
        <w:tc>
          <w:tcPr>
            <w:tcW w:w="1280" w:type="dxa"/>
            <w:vAlign w:val="center"/>
          </w:tcPr>
          <w:p w14:paraId="795E039C" w14:textId="64BD65BB" w:rsidR="00AB209B" w:rsidRPr="006545AD" w:rsidRDefault="00EF5502" w:rsidP="00EE43C6">
            <w:pPr>
              <w:shd w:val="clear" w:color="auto" w:fill="FFFFFF"/>
              <w:spacing w:before="60" w:after="60" w:line="360" w:lineRule="exact"/>
              <w:jc w:val="both"/>
              <w:rPr>
                <w:rFonts w:ascii="Times New Roman" w:eastAsia="Times New Roman" w:hAnsi="Times New Roman" w:cs="Times New Roman"/>
                <w:sz w:val="28"/>
                <w:szCs w:val="28"/>
                <w:vertAlign w:val="subscript"/>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bq</m:t>
                  </m:r>
                </m:sub>
                <m:sup>
                  <m:r>
                    <w:rPr>
                      <w:rFonts w:ascii="Cambria Math" w:eastAsia="Times New Roman" w:hAnsi="Cambria Math" w:cs="Times New Roman"/>
                      <w:sz w:val="28"/>
                      <w:szCs w:val="28"/>
                    </w:rPr>
                    <m:t>max</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7084" w:type="dxa"/>
            <w:vAlign w:val="center"/>
          </w:tcPr>
          <w:p w14:paraId="26BD75A1" w14:textId="77777777" w:rsidR="00AB209B" w:rsidRPr="006545AD" w:rsidRDefault="00AB209B" w:rsidP="00EE43C6">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năm đi học bình quân tối đa với mức cố định là 15 năm.</w:t>
            </w:r>
          </w:p>
        </w:tc>
      </w:tr>
    </w:tbl>
    <w:p w14:paraId="05FA82E7" w14:textId="049BCED5" w:rsidR="00AB209B" w:rsidRPr="006545AD" w:rsidRDefault="00AB209B" w:rsidP="005725BC">
      <w:pPr>
        <w:shd w:val="clear" w:color="auto" w:fill="FFFFFF"/>
        <w:spacing w:after="60" w:line="360" w:lineRule="exact"/>
        <w:jc w:val="both"/>
        <w:rPr>
          <w:rFonts w:ascii="Times New Roman" w:eastAsia="Times New Roman" w:hAnsi="Times New Roman" w:cs="Times New Roman"/>
          <w:i/>
          <w:sz w:val="28"/>
          <w:szCs w:val="28"/>
        </w:rPr>
      </w:pPr>
      <w:r w:rsidRPr="006545AD">
        <w:rPr>
          <w:rFonts w:ascii="Times New Roman" w:eastAsia="Times New Roman" w:hAnsi="Times New Roman" w:cs="Times New Roman"/>
          <w:i/>
          <w:sz w:val="28"/>
          <w:szCs w:val="28"/>
        </w:rPr>
        <w:tab/>
        <w:t>Bước 2: Tính chỉ số số năm đi học kỳ vọng của trẻ em trong độ tuổi đi học (sau đây gọi tắt là số năm đi học kỳ vọng) theo công thức:</w:t>
      </w:r>
    </w:p>
    <w:tbl>
      <w:tblPr>
        <w:tblStyle w:val="TableGrid"/>
        <w:tblW w:w="8646"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5"/>
        <w:gridCol w:w="426"/>
        <w:gridCol w:w="3073"/>
        <w:gridCol w:w="374"/>
        <w:gridCol w:w="1797"/>
        <w:gridCol w:w="426"/>
        <w:gridCol w:w="1275"/>
      </w:tblGrid>
      <w:tr w:rsidR="00AB209B" w:rsidRPr="006545AD" w14:paraId="02C6F9E5" w14:textId="77777777" w:rsidTr="005725BC">
        <w:tc>
          <w:tcPr>
            <w:tcW w:w="1275" w:type="dxa"/>
            <w:vMerge w:val="restart"/>
            <w:vAlign w:val="center"/>
          </w:tcPr>
          <w:p w14:paraId="767C96C8" w14:textId="1E4AB94D"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kỳ vọng</m:t>
                    </m:r>
                  </m:sub>
                </m:sSub>
              </m:oMath>
            </m:oMathPara>
          </w:p>
        </w:tc>
        <w:tc>
          <w:tcPr>
            <w:tcW w:w="426" w:type="dxa"/>
            <w:vMerge w:val="restart"/>
            <w:vAlign w:val="center"/>
          </w:tcPr>
          <w:p w14:paraId="24B15FB5"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3073" w:type="dxa"/>
            <w:vAlign w:val="center"/>
          </w:tcPr>
          <w:p w14:paraId="43B16FB5" w14:textId="540010C6"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thực</m:t>
                    </m:r>
                  </m:sup>
                </m:sSubSup>
                <m:r>
                  <w:rPr>
                    <w:rFonts w:ascii="Cambria Math" w:eastAsia="Times New Roman" w:hAnsi="Cambria Math" w:cs="Times New Roman"/>
                    <w:sz w:val="28"/>
                    <w:szCs w:val="28"/>
                  </w:rPr>
                  <m:t xml:space="preserve"> -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min</m:t>
                    </m:r>
                  </m:sup>
                </m:sSubSup>
              </m:oMath>
            </m:oMathPara>
          </w:p>
        </w:tc>
        <w:tc>
          <w:tcPr>
            <w:tcW w:w="374" w:type="dxa"/>
            <w:vMerge w:val="restart"/>
            <w:vAlign w:val="center"/>
          </w:tcPr>
          <w:p w14:paraId="09173B23"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797" w:type="dxa"/>
            <w:vAlign w:val="center"/>
          </w:tcPr>
          <w:p w14:paraId="5B447306" w14:textId="4013339B" w:rsidR="00AB209B" w:rsidRPr="006545AD" w:rsidRDefault="00EF5502" w:rsidP="005725BC">
            <w:pPr>
              <w:shd w:val="clear" w:color="auto" w:fill="FFFFFF"/>
              <w:spacing w:before="60" w:after="60" w:line="360" w:lineRule="exact"/>
              <w:jc w:val="center"/>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thực</m:t>
                  </m:r>
                </m:sup>
              </m:sSubSup>
            </m:oMath>
            <w:r w:rsidR="00AB209B" w:rsidRPr="006545AD">
              <w:rPr>
                <w:rFonts w:ascii="Times New Roman" w:eastAsia="Times New Roman" w:hAnsi="Times New Roman" w:cs="Times New Roman"/>
                <w:sz w:val="28"/>
                <w:szCs w:val="28"/>
              </w:rPr>
              <w:t>– 0</w:t>
            </w:r>
          </w:p>
        </w:tc>
        <w:tc>
          <w:tcPr>
            <w:tcW w:w="426" w:type="dxa"/>
            <w:vMerge w:val="restart"/>
            <w:vAlign w:val="center"/>
          </w:tcPr>
          <w:p w14:paraId="6BFD87B1"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1275" w:type="dxa"/>
            <w:vAlign w:val="center"/>
          </w:tcPr>
          <w:p w14:paraId="784B7B52" w14:textId="2CE4E8A0"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thực</m:t>
                    </m:r>
                  </m:sup>
                </m:sSubSup>
              </m:oMath>
            </m:oMathPara>
          </w:p>
        </w:tc>
      </w:tr>
      <w:tr w:rsidR="00AB209B" w:rsidRPr="006545AD" w14:paraId="23A13AD0" w14:textId="77777777" w:rsidTr="005725BC">
        <w:trPr>
          <w:trHeight w:val="776"/>
        </w:trPr>
        <w:tc>
          <w:tcPr>
            <w:tcW w:w="1275" w:type="dxa"/>
            <w:vMerge/>
            <w:vAlign w:val="center"/>
          </w:tcPr>
          <w:p w14:paraId="266D7878"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426" w:type="dxa"/>
            <w:vMerge/>
            <w:vAlign w:val="center"/>
          </w:tcPr>
          <w:p w14:paraId="50B368DD"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3073" w:type="dxa"/>
            <w:vAlign w:val="center"/>
          </w:tcPr>
          <w:p w14:paraId="0DCACBE4" w14:textId="4725A8C7"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max</m:t>
                    </m:r>
                  </m:sup>
                </m:sSubSup>
                <m:r>
                  <w:rPr>
                    <w:rFonts w:ascii="Cambria Math" w:eastAsia="Times New Roman" w:hAnsi="Cambria Math" w:cs="Times New Roman"/>
                    <w:sz w:val="28"/>
                    <w:szCs w:val="28"/>
                  </w:rPr>
                  <m:t xml:space="preserve">-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min</m:t>
                    </m:r>
                  </m:sup>
                </m:sSubSup>
              </m:oMath>
            </m:oMathPara>
          </w:p>
        </w:tc>
        <w:tc>
          <w:tcPr>
            <w:tcW w:w="374" w:type="dxa"/>
            <w:vMerge/>
          </w:tcPr>
          <w:p w14:paraId="37FCA8FE"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1797" w:type="dxa"/>
            <w:vAlign w:val="center"/>
          </w:tcPr>
          <w:p w14:paraId="72EBF6D5" w14:textId="77777777" w:rsidR="00AB209B" w:rsidRPr="006545AD" w:rsidRDefault="00AB209B" w:rsidP="005725BC">
            <w:pPr>
              <w:shd w:val="clear" w:color="auto" w:fill="FFFFFF"/>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18 – 0</w:t>
            </w:r>
          </w:p>
        </w:tc>
        <w:tc>
          <w:tcPr>
            <w:tcW w:w="426" w:type="dxa"/>
            <w:vMerge/>
          </w:tcPr>
          <w:p w14:paraId="61692C0F"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1275" w:type="dxa"/>
            <w:vAlign w:val="center"/>
          </w:tcPr>
          <w:p w14:paraId="1ACC1DD5"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18</w:t>
            </w:r>
          </w:p>
        </w:tc>
      </w:tr>
    </w:tbl>
    <w:p w14:paraId="7B5A0D82" w14:textId="685A724E"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i/>
          <w:sz w:val="28"/>
          <w:szCs w:val="28"/>
        </w:rPr>
      </w:pPr>
      <w:r w:rsidRPr="006545AD">
        <w:rPr>
          <w:rFonts w:ascii="Times New Roman" w:eastAsia="Times New Roman" w:hAnsi="Times New Roman" w:cs="Times New Roman"/>
          <w:sz w:val="28"/>
          <w:szCs w:val="28"/>
        </w:rPr>
        <w:tab/>
        <w:t>Trong đó:</w:t>
      </w:r>
    </w:p>
    <w:tbl>
      <w:tblPr>
        <w:tblStyle w:val="TableGrid"/>
        <w:tblW w:w="8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74"/>
      </w:tblGrid>
      <w:tr w:rsidR="00AB209B" w:rsidRPr="006545AD" w14:paraId="0BC98D97" w14:textId="77777777" w:rsidTr="00C00AA2">
        <w:trPr>
          <w:cantSplit/>
          <w:trHeight w:val="117"/>
          <w:jc w:val="center"/>
        </w:trPr>
        <w:tc>
          <w:tcPr>
            <w:tcW w:w="1418" w:type="dxa"/>
            <w:vAlign w:val="center"/>
          </w:tcPr>
          <w:p w14:paraId="48C52D29" w14:textId="24FC0B49" w:rsidR="00AB209B" w:rsidRPr="006545AD" w:rsidRDefault="00EF5502" w:rsidP="00C57102">
            <w:pPr>
              <w:shd w:val="clear" w:color="auto" w:fill="FFFFFF"/>
              <w:spacing w:before="60" w:after="60" w:line="360" w:lineRule="exact"/>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kỳ vọng</m:t>
                  </m:r>
                </m:sub>
              </m:sSub>
              <m:r>
                <m:rPr>
                  <m:sty m:val="p"/>
                </m:rP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 xml:space="preserve">  :</w:t>
            </w:r>
          </w:p>
        </w:tc>
        <w:tc>
          <w:tcPr>
            <w:tcW w:w="6974" w:type="dxa"/>
            <w:vAlign w:val="center"/>
          </w:tcPr>
          <w:p w14:paraId="4F625E54" w14:textId="77777777" w:rsidR="00AB209B" w:rsidRPr="006545AD" w:rsidRDefault="00AB209B" w:rsidP="00C57102">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số năm đi học kỳ vọng;</w:t>
            </w:r>
          </w:p>
        </w:tc>
      </w:tr>
      <w:tr w:rsidR="00AB209B" w:rsidRPr="006545AD" w14:paraId="3DB49BA7" w14:textId="77777777" w:rsidTr="00C00AA2">
        <w:trPr>
          <w:cantSplit/>
          <w:trHeight w:val="215"/>
          <w:jc w:val="center"/>
        </w:trPr>
        <w:tc>
          <w:tcPr>
            <w:tcW w:w="1418" w:type="dxa"/>
          </w:tcPr>
          <w:p w14:paraId="4E49A1DC" w14:textId="5EA17342" w:rsidR="00AB209B" w:rsidRPr="006545AD" w:rsidRDefault="00EF5502" w:rsidP="00C57102">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thực</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6974" w:type="dxa"/>
            <w:vAlign w:val="center"/>
          </w:tcPr>
          <w:p w14:paraId="79D3641D" w14:textId="77777777" w:rsidR="00AB209B" w:rsidRPr="006545AD" w:rsidRDefault="00AB209B" w:rsidP="00C57102">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năm đi học kỳ vọng thực tế đã đạt được;</w:t>
            </w:r>
          </w:p>
        </w:tc>
      </w:tr>
      <w:tr w:rsidR="00AB209B" w:rsidRPr="006545AD" w14:paraId="6BBE3EF3" w14:textId="77777777" w:rsidTr="00C00AA2">
        <w:trPr>
          <w:cantSplit/>
          <w:trHeight w:val="20"/>
          <w:jc w:val="center"/>
        </w:trPr>
        <w:tc>
          <w:tcPr>
            <w:tcW w:w="1418" w:type="dxa"/>
          </w:tcPr>
          <w:p w14:paraId="54C43DE4" w14:textId="02994E50" w:rsidR="00AB209B" w:rsidRPr="006545AD" w:rsidRDefault="00EF5502" w:rsidP="00C57102">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 xml:space="preserve">min </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6974" w:type="dxa"/>
            <w:vAlign w:val="center"/>
          </w:tcPr>
          <w:p w14:paraId="07874712" w14:textId="77777777" w:rsidR="00AB209B" w:rsidRPr="006545AD" w:rsidRDefault="00AB209B" w:rsidP="00C57102">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năm đi học kỳ vọng tối thiểu với mức cố định là 0;</w:t>
            </w:r>
          </w:p>
        </w:tc>
      </w:tr>
      <w:tr w:rsidR="00AB209B" w:rsidRPr="006545AD" w14:paraId="02ED9679" w14:textId="77777777" w:rsidTr="00C00AA2">
        <w:trPr>
          <w:cantSplit/>
          <w:trHeight w:val="20"/>
          <w:jc w:val="center"/>
        </w:trPr>
        <w:tc>
          <w:tcPr>
            <w:tcW w:w="1418" w:type="dxa"/>
          </w:tcPr>
          <w:p w14:paraId="7C81E011" w14:textId="52F8AF8E" w:rsidR="00AB209B" w:rsidRPr="006545AD" w:rsidRDefault="00EF5502" w:rsidP="00C57102">
            <w:pPr>
              <w:shd w:val="clear" w:color="auto" w:fill="FFFFFF"/>
              <w:spacing w:before="60" w:after="60" w:line="360" w:lineRule="exact"/>
              <w:jc w:val="both"/>
              <w:rPr>
                <w:rFonts w:ascii="Times New Roman" w:eastAsia="Times New Roman" w:hAnsi="Times New Roman" w:cs="Times New Roman"/>
                <w:sz w:val="28"/>
                <w:szCs w:val="28"/>
                <w:vertAlign w:val="subscript"/>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kỳ vọng</m:t>
                  </m:r>
                </m:sub>
                <m:sup>
                  <m:r>
                    <w:rPr>
                      <w:rFonts w:ascii="Cambria Math" w:eastAsia="Times New Roman" w:hAnsi="Cambria Math" w:cs="Times New Roman"/>
                      <w:sz w:val="28"/>
                      <w:szCs w:val="28"/>
                    </w:rPr>
                    <m:t>max</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w:t>
            </w:r>
          </w:p>
        </w:tc>
        <w:tc>
          <w:tcPr>
            <w:tcW w:w="6974" w:type="dxa"/>
            <w:vAlign w:val="center"/>
          </w:tcPr>
          <w:p w14:paraId="1D7DECAE" w14:textId="77777777" w:rsidR="00AB209B" w:rsidRPr="006545AD" w:rsidRDefault="00AB209B" w:rsidP="00C57102">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năm đi học kỳ vọng tối đa với mức cố định là 18 năm.</w:t>
            </w:r>
          </w:p>
        </w:tc>
      </w:tr>
    </w:tbl>
    <w:p w14:paraId="6FB24977" w14:textId="70E00BA0"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i/>
          <w:sz w:val="28"/>
          <w:szCs w:val="28"/>
        </w:rPr>
      </w:pPr>
      <w:r w:rsidRPr="006545AD">
        <w:rPr>
          <w:rFonts w:ascii="Times New Roman" w:eastAsia="Times New Roman" w:hAnsi="Times New Roman" w:cs="Times New Roman"/>
          <w:i/>
          <w:sz w:val="28"/>
          <w:szCs w:val="28"/>
        </w:rPr>
        <w:tab/>
        <w:t>Bước 3: Tính chỉ số giáo dục:</w:t>
      </w:r>
    </w:p>
    <w:tbl>
      <w:tblPr>
        <w:tblStyle w:val="TableGrid"/>
        <w:tblW w:w="3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tblGrid>
      <w:tr w:rsidR="00AB209B" w:rsidRPr="006545AD" w14:paraId="1B21621A" w14:textId="77777777" w:rsidTr="00C00AA2">
        <w:trPr>
          <w:jc w:val="center"/>
        </w:trPr>
        <w:tc>
          <w:tcPr>
            <w:tcW w:w="1276" w:type="dxa"/>
            <w:vMerge w:val="restart"/>
            <w:vAlign w:val="center"/>
          </w:tcPr>
          <w:p w14:paraId="25B94C33"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w:t>
            </w:r>
            <w:r w:rsidRPr="006545AD">
              <w:rPr>
                <w:rFonts w:ascii="Times New Roman" w:eastAsia="Times New Roman" w:hAnsi="Times New Roman" w:cs="Times New Roman"/>
                <w:i/>
                <w:sz w:val="28"/>
                <w:szCs w:val="28"/>
                <w:vertAlign w:val="subscript"/>
              </w:rPr>
              <w:t>giáo dục</w:t>
            </w:r>
            <w:r w:rsidRPr="006545AD">
              <w:rPr>
                <w:rFonts w:ascii="Times New Roman" w:eastAsia="Times New Roman" w:hAnsi="Times New Roman" w:cs="Times New Roman"/>
                <w:sz w:val="28"/>
                <w:szCs w:val="28"/>
              </w:rPr>
              <w:t xml:space="preserve">  =</w:t>
            </w:r>
          </w:p>
        </w:tc>
        <w:tc>
          <w:tcPr>
            <w:tcW w:w="1985" w:type="dxa"/>
            <w:tcBorders>
              <w:bottom w:val="single" w:sz="4" w:space="0" w:color="auto"/>
            </w:tcBorders>
            <w:vAlign w:val="center"/>
          </w:tcPr>
          <w:p w14:paraId="50AD1592"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vertAlign w:val="subscript"/>
              </w:rPr>
            </w:pPr>
            <w:r w:rsidRPr="006545AD">
              <w:rPr>
                <w:rFonts w:ascii="Times New Roman" w:eastAsia="Times New Roman" w:hAnsi="Times New Roman" w:cs="Times New Roman"/>
                <w:i/>
                <w:sz w:val="28"/>
                <w:szCs w:val="28"/>
              </w:rPr>
              <w:t>I</w:t>
            </w:r>
            <w:r w:rsidRPr="006545AD">
              <w:rPr>
                <w:rFonts w:ascii="Times New Roman" w:eastAsia="Times New Roman" w:hAnsi="Times New Roman" w:cs="Times New Roman"/>
                <w:i/>
                <w:sz w:val="28"/>
                <w:szCs w:val="28"/>
                <w:vertAlign w:val="subscript"/>
              </w:rPr>
              <w:t>bình quân</w:t>
            </w:r>
            <w:r w:rsidRPr="006545AD">
              <w:rPr>
                <w:rFonts w:ascii="Times New Roman" w:eastAsia="Times New Roman" w:hAnsi="Times New Roman" w:cs="Times New Roman"/>
                <w:sz w:val="28"/>
                <w:szCs w:val="28"/>
              </w:rPr>
              <w:t xml:space="preserve"> + </w:t>
            </w:r>
            <w:r w:rsidRPr="006545AD">
              <w:rPr>
                <w:rFonts w:ascii="Times New Roman" w:eastAsia="Times New Roman" w:hAnsi="Times New Roman" w:cs="Times New Roman"/>
                <w:i/>
                <w:sz w:val="28"/>
                <w:szCs w:val="28"/>
              </w:rPr>
              <w:t>I</w:t>
            </w:r>
            <w:r w:rsidRPr="006545AD">
              <w:rPr>
                <w:rFonts w:ascii="Times New Roman" w:eastAsia="Times New Roman" w:hAnsi="Times New Roman" w:cs="Times New Roman"/>
                <w:i/>
                <w:sz w:val="28"/>
                <w:szCs w:val="28"/>
                <w:vertAlign w:val="subscript"/>
              </w:rPr>
              <w:t>kỳ vọng</w:t>
            </w:r>
          </w:p>
        </w:tc>
      </w:tr>
      <w:tr w:rsidR="00AB209B" w:rsidRPr="006545AD" w14:paraId="45CCCFD3" w14:textId="77777777" w:rsidTr="00C00AA2">
        <w:trPr>
          <w:jc w:val="center"/>
        </w:trPr>
        <w:tc>
          <w:tcPr>
            <w:tcW w:w="1276" w:type="dxa"/>
            <w:vMerge/>
            <w:vAlign w:val="center"/>
          </w:tcPr>
          <w:p w14:paraId="6ABD2DAC"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1985" w:type="dxa"/>
            <w:tcBorders>
              <w:top w:val="single" w:sz="4" w:space="0" w:color="auto"/>
            </w:tcBorders>
            <w:vAlign w:val="center"/>
          </w:tcPr>
          <w:p w14:paraId="768E2275" w14:textId="77777777" w:rsidR="00AB209B" w:rsidRPr="006545AD" w:rsidRDefault="00AB209B" w:rsidP="009B7606">
            <w:pPr>
              <w:shd w:val="clear" w:color="auto" w:fill="FFFFFF"/>
              <w:spacing w:before="60" w:after="60" w:line="360" w:lineRule="exact"/>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2</w:t>
            </w:r>
          </w:p>
        </w:tc>
      </w:tr>
    </w:tbl>
    <w:p w14:paraId="5D4DAC17" w14:textId="5E2AEB8A"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Trong đó:</w:t>
      </w:r>
    </w:p>
    <w:tbl>
      <w:tblPr>
        <w:tblStyle w:val="TableGrid"/>
        <w:tblW w:w="8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1"/>
      </w:tblGrid>
      <w:tr w:rsidR="00AB209B" w:rsidRPr="006545AD" w14:paraId="31E886AF" w14:textId="77777777" w:rsidTr="00C00AA2">
        <w:trPr>
          <w:trHeight w:val="20"/>
          <w:jc w:val="center"/>
        </w:trPr>
        <w:tc>
          <w:tcPr>
            <w:tcW w:w="1276" w:type="dxa"/>
          </w:tcPr>
          <w:p w14:paraId="07CFD16A" w14:textId="77777777" w:rsidR="00AB209B" w:rsidRPr="006545AD" w:rsidRDefault="00AB209B" w:rsidP="005725BC">
            <w:pPr>
              <w:shd w:val="clear" w:color="auto" w:fill="FFFFFF"/>
              <w:spacing w:before="60" w:after="60" w:line="350" w:lineRule="exact"/>
              <w:jc w:val="both"/>
              <w:rPr>
                <w:rFonts w:ascii="Times New Roman" w:eastAsia="Times New Roman" w:hAnsi="Times New Roman" w:cs="Times New Roman"/>
                <w:sz w:val="28"/>
                <w:szCs w:val="28"/>
                <w:vertAlign w:val="subscript"/>
              </w:rPr>
            </w:pPr>
            <w:r w:rsidRPr="006545AD">
              <w:rPr>
                <w:rFonts w:ascii="Times New Roman" w:eastAsia="Times New Roman" w:hAnsi="Times New Roman" w:cs="Times New Roman"/>
                <w:sz w:val="28"/>
                <w:szCs w:val="28"/>
              </w:rPr>
              <w:t>I</w:t>
            </w:r>
            <w:r w:rsidRPr="006545AD">
              <w:rPr>
                <w:rFonts w:ascii="Times New Roman" w:eastAsia="Times New Roman" w:hAnsi="Times New Roman" w:cs="Times New Roman"/>
                <w:i/>
                <w:sz w:val="28"/>
                <w:szCs w:val="28"/>
                <w:vertAlign w:val="subscript"/>
              </w:rPr>
              <w:t xml:space="preserve">giáo dục     </w:t>
            </w:r>
            <w:r w:rsidRPr="006545AD">
              <w:rPr>
                <w:rFonts w:ascii="Times New Roman" w:eastAsia="Times New Roman" w:hAnsi="Times New Roman" w:cs="Times New Roman"/>
                <w:sz w:val="28"/>
                <w:szCs w:val="28"/>
              </w:rPr>
              <w:t>:</w:t>
            </w:r>
          </w:p>
        </w:tc>
        <w:tc>
          <w:tcPr>
            <w:tcW w:w="7041" w:type="dxa"/>
          </w:tcPr>
          <w:p w14:paraId="4AA187EE" w14:textId="77777777" w:rsidR="00AB209B" w:rsidRPr="006545AD" w:rsidRDefault="00AB209B" w:rsidP="005725BC">
            <w:pPr>
              <w:shd w:val="clear" w:color="auto" w:fill="FFFFFF"/>
              <w:spacing w:before="60" w:after="6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giáo dục;</w:t>
            </w:r>
          </w:p>
        </w:tc>
      </w:tr>
      <w:tr w:rsidR="00AB209B" w:rsidRPr="006545AD" w14:paraId="3CDB28C9" w14:textId="77777777" w:rsidTr="00C00AA2">
        <w:trPr>
          <w:trHeight w:val="20"/>
          <w:jc w:val="center"/>
        </w:trPr>
        <w:tc>
          <w:tcPr>
            <w:tcW w:w="1276" w:type="dxa"/>
          </w:tcPr>
          <w:p w14:paraId="4083BD84" w14:textId="77777777" w:rsidR="00AB209B" w:rsidRPr="006545AD" w:rsidRDefault="00AB209B" w:rsidP="005725BC">
            <w:pPr>
              <w:shd w:val="clear" w:color="auto" w:fill="FFFFFF"/>
              <w:spacing w:before="60" w:after="6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i/>
                <w:sz w:val="28"/>
                <w:szCs w:val="28"/>
              </w:rPr>
              <w:t>I</w:t>
            </w:r>
            <w:r w:rsidRPr="006545AD">
              <w:rPr>
                <w:rFonts w:ascii="Times New Roman" w:eastAsia="Times New Roman" w:hAnsi="Times New Roman" w:cs="Times New Roman"/>
                <w:i/>
                <w:sz w:val="28"/>
                <w:szCs w:val="28"/>
                <w:vertAlign w:val="subscript"/>
              </w:rPr>
              <w:t xml:space="preserve">bình quân   </w:t>
            </w:r>
            <w:r w:rsidRPr="006545AD">
              <w:rPr>
                <w:rFonts w:ascii="Times New Roman" w:eastAsia="Times New Roman" w:hAnsi="Times New Roman" w:cs="Times New Roman"/>
                <w:sz w:val="28"/>
                <w:szCs w:val="28"/>
              </w:rPr>
              <w:t>:</w:t>
            </w:r>
          </w:p>
        </w:tc>
        <w:tc>
          <w:tcPr>
            <w:tcW w:w="7041" w:type="dxa"/>
          </w:tcPr>
          <w:p w14:paraId="190A57E8" w14:textId="77777777" w:rsidR="00AB209B" w:rsidRPr="006545AD" w:rsidRDefault="00AB209B" w:rsidP="005725BC">
            <w:pPr>
              <w:shd w:val="clear" w:color="auto" w:fill="FFFFFF"/>
              <w:spacing w:before="60" w:after="6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số năm đi học bình quân;</w:t>
            </w:r>
          </w:p>
        </w:tc>
      </w:tr>
      <w:tr w:rsidR="00AB209B" w:rsidRPr="006545AD" w14:paraId="04A64502" w14:textId="77777777" w:rsidTr="00C00AA2">
        <w:trPr>
          <w:trHeight w:val="20"/>
          <w:jc w:val="center"/>
        </w:trPr>
        <w:tc>
          <w:tcPr>
            <w:tcW w:w="1276" w:type="dxa"/>
          </w:tcPr>
          <w:p w14:paraId="3EB88821" w14:textId="77777777" w:rsidR="00AB209B" w:rsidRPr="006545AD" w:rsidRDefault="00AB209B" w:rsidP="005725BC">
            <w:pPr>
              <w:shd w:val="clear" w:color="auto" w:fill="FFFFFF"/>
              <w:spacing w:before="60" w:after="6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i/>
                <w:sz w:val="28"/>
                <w:szCs w:val="28"/>
              </w:rPr>
              <w:t>I</w:t>
            </w:r>
            <w:r w:rsidRPr="006545AD">
              <w:rPr>
                <w:rFonts w:ascii="Times New Roman" w:eastAsia="Times New Roman" w:hAnsi="Times New Roman" w:cs="Times New Roman"/>
                <w:i/>
                <w:sz w:val="28"/>
                <w:szCs w:val="28"/>
                <w:vertAlign w:val="subscript"/>
              </w:rPr>
              <w:t xml:space="preserve">kỳ vọng       </w:t>
            </w:r>
            <w:r w:rsidRPr="006545AD">
              <w:rPr>
                <w:rFonts w:ascii="Times New Roman" w:eastAsia="Times New Roman" w:hAnsi="Times New Roman" w:cs="Times New Roman"/>
                <w:sz w:val="28"/>
                <w:szCs w:val="28"/>
              </w:rPr>
              <w:t>:</w:t>
            </w:r>
          </w:p>
        </w:tc>
        <w:tc>
          <w:tcPr>
            <w:tcW w:w="7041" w:type="dxa"/>
          </w:tcPr>
          <w:p w14:paraId="484B1D0D" w14:textId="77777777" w:rsidR="00AB209B" w:rsidRPr="006545AD" w:rsidRDefault="00AB209B" w:rsidP="005725BC">
            <w:pPr>
              <w:shd w:val="clear" w:color="auto" w:fill="FFFFFF"/>
              <w:spacing w:before="60" w:after="60" w:line="35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số năm đi học kỳ vọng.</w:t>
            </w:r>
          </w:p>
        </w:tc>
      </w:tr>
    </w:tbl>
    <w:p w14:paraId="79B20390" w14:textId="2F9AF50F"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c) Chỉ số thu nhập</w:t>
      </w:r>
    </w:p>
    <w:p w14:paraId="3D3FA11A" w14:textId="66B817D0" w:rsidR="00AB209B" w:rsidRPr="006545AD" w:rsidRDefault="00AB209B" w:rsidP="005725BC">
      <w:pPr>
        <w:shd w:val="clear" w:color="auto" w:fill="FFFFFF"/>
        <w:spacing w:before="60" w:after="12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xml:space="preserve">Chỉ số thu nhập được xác định bằng phép toán logarit tự nhiên chỉ tiêu tổng thu nhập quốc gia (GNI) bình quân đầu người theo sức mua tương đương (PPP) (thường được quy về đô la Mỹ (USD - PPP)). </w:t>
      </w:r>
    </w:p>
    <w:tbl>
      <w:tblPr>
        <w:tblStyle w:val="TableGrid"/>
        <w:tblW w:w="715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8"/>
        <w:gridCol w:w="374"/>
        <w:gridCol w:w="2920"/>
        <w:gridCol w:w="374"/>
        <w:gridCol w:w="2297"/>
      </w:tblGrid>
      <w:tr w:rsidR="00AB209B" w:rsidRPr="006545AD" w14:paraId="59B5B2AA" w14:textId="77777777" w:rsidTr="00C00AA2">
        <w:trPr>
          <w:jc w:val="center"/>
        </w:trPr>
        <w:tc>
          <w:tcPr>
            <w:tcW w:w="1188" w:type="dxa"/>
            <w:vMerge w:val="restart"/>
            <w:vAlign w:val="center"/>
          </w:tcPr>
          <w:p w14:paraId="4D142A9A" w14:textId="24873218"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Cambria Math" w:cs="Times New Roman"/>
                        <w:sz w:val="28"/>
                        <w:szCs w:val="28"/>
                      </w:rPr>
                      <m:t>thu nhập</m:t>
                    </m:r>
                  </m:sub>
                </m:sSub>
              </m:oMath>
            </m:oMathPara>
          </w:p>
        </w:tc>
        <w:tc>
          <w:tcPr>
            <w:tcW w:w="277" w:type="dxa"/>
            <w:vMerge w:val="restart"/>
            <w:vAlign w:val="center"/>
          </w:tcPr>
          <w:p w14:paraId="19B32CB7"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982" w:type="dxa"/>
            <w:vAlign w:val="center"/>
          </w:tcPr>
          <w:p w14:paraId="09C728FF" w14:textId="2DCDE828"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ln(X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thực</m:t>
                    </m:r>
                  </m:sup>
                </m:sSubSup>
                <m:r>
                  <w:rPr>
                    <w:rFonts w:ascii="Cambria Math" w:eastAsia="Times New Roman" w:hAnsi="Cambria Math" w:cs="Times New Roman"/>
                    <w:sz w:val="28"/>
                    <w:szCs w:val="28"/>
                  </w:rPr>
                  <m:t xml:space="preserve">) -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ln(X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min</m:t>
                    </m:r>
                  </m:sup>
                </m:sSubSup>
                <m:r>
                  <w:rPr>
                    <w:rFonts w:ascii="Cambria Math" w:eastAsia="Times New Roman" w:hAnsi="Cambria Math" w:cs="Times New Roman"/>
                    <w:sz w:val="28"/>
                    <w:szCs w:val="28"/>
                  </w:rPr>
                  <m:t>)</m:t>
                </m:r>
              </m:oMath>
            </m:oMathPara>
          </w:p>
        </w:tc>
        <w:tc>
          <w:tcPr>
            <w:tcW w:w="374" w:type="dxa"/>
            <w:vMerge w:val="restart"/>
            <w:vAlign w:val="center"/>
          </w:tcPr>
          <w:p w14:paraId="387C812D"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332" w:type="dxa"/>
            <w:vAlign w:val="center"/>
          </w:tcPr>
          <w:p w14:paraId="1B745A37" w14:textId="44AF2443"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ln(X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thực</m:t>
                  </m:r>
                </m:sup>
              </m:sSubSup>
              <m:r>
                <w:rPr>
                  <w:rFonts w:ascii="Cambria Math" w:eastAsia="Times New Roman" w:hAnsi="Cambria Math" w:cs="Times New Roman"/>
                  <w:sz w:val="28"/>
                  <w:szCs w:val="28"/>
                </w:rPr>
                <m:t xml:space="preserve">) </m:t>
              </m:r>
            </m:oMath>
            <w:r w:rsidR="00AB209B" w:rsidRPr="006545AD">
              <w:rPr>
                <w:rFonts w:ascii="Times New Roman" w:eastAsia="Times New Roman" w:hAnsi="Times New Roman" w:cs="Times New Roman"/>
                <w:sz w:val="28"/>
                <w:szCs w:val="28"/>
              </w:rPr>
              <w:t xml:space="preserve">– </w:t>
            </w:r>
            <w:r w:rsidR="00AB209B" w:rsidRPr="006545AD">
              <w:rPr>
                <w:rFonts w:ascii="Times New Roman" w:eastAsia="Times New Roman" w:hAnsi="Times New Roman" w:cs="Times New Roman"/>
                <w:i/>
                <w:sz w:val="28"/>
                <w:szCs w:val="28"/>
              </w:rPr>
              <w:t>ln</w:t>
            </w:r>
            <w:r w:rsidR="00AB209B" w:rsidRPr="006545AD">
              <w:rPr>
                <w:rFonts w:ascii="Times New Roman" w:eastAsia="Times New Roman" w:hAnsi="Times New Roman" w:cs="Times New Roman"/>
                <w:sz w:val="28"/>
                <w:szCs w:val="28"/>
              </w:rPr>
              <w:t xml:space="preserve"> 100</w:t>
            </w:r>
          </w:p>
        </w:tc>
      </w:tr>
      <w:tr w:rsidR="00AB209B" w:rsidRPr="006545AD" w14:paraId="449C6E07" w14:textId="77777777" w:rsidTr="00C00AA2">
        <w:trPr>
          <w:jc w:val="center"/>
        </w:trPr>
        <w:tc>
          <w:tcPr>
            <w:tcW w:w="1188" w:type="dxa"/>
            <w:vMerge/>
            <w:vAlign w:val="center"/>
          </w:tcPr>
          <w:p w14:paraId="2A9416ED"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277" w:type="dxa"/>
            <w:vMerge/>
            <w:vAlign w:val="center"/>
          </w:tcPr>
          <w:p w14:paraId="0E403C8C"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2982" w:type="dxa"/>
            <w:vAlign w:val="center"/>
          </w:tcPr>
          <w:p w14:paraId="515F6E0C" w14:textId="6FD22FA6" w:rsidR="00AB209B" w:rsidRPr="006545AD" w:rsidRDefault="00EF5502" w:rsidP="00AB209B">
            <w:pPr>
              <w:shd w:val="clear" w:color="auto" w:fill="FFFFFF"/>
              <w:spacing w:before="60" w:after="60" w:line="360" w:lineRule="exact"/>
              <w:jc w:val="both"/>
              <w:rPr>
                <w:rFonts w:ascii="Times New Roman" w:eastAsia="Times New Roman" w:hAnsi="Times New Roman" w:cs="Times New Roman"/>
                <w:sz w:val="28"/>
                <w:szCs w:val="28"/>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ln(X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max</m:t>
                    </m:r>
                  </m:sup>
                </m:sSubSup>
                <m:r>
                  <w:rPr>
                    <w:rFonts w:ascii="Cambria Math" w:eastAsia="Times New Roman" w:hAnsi="Cambria Math" w:cs="Times New Roman"/>
                    <w:sz w:val="28"/>
                    <w:szCs w:val="28"/>
                  </w:rPr>
                  <m:t xml:space="preserve">)-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ln(X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min</m:t>
                    </m:r>
                  </m:sup>
                </m:sSubSup>
                <m:r>
                  <w:rPr>
                    <w:rFonts w:ascii="Cambria Math" w:eastAsia="Times New Roman" w:hAnsi="Cambria Math" w:cs="Times New Roman"/>
                    <w:sz w:val="28"/>
                    <w:szCs w:val="28"/>
                  </w:rPr>
                  <m:t>)</m:t>
                </m:r>
              </m:oMath>
            </m:oMathPara>
          </w:p>
        </w:tc>
        <w:tc>
          <w:tcPr>
            <w:tcW w:w="374" w:type="dxa"/>
            <w:vMerge/>
          </w:tcPr>
          <w:p w14:paraId="550D9C1F"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p>
        </w:tc>
        <w:tc>
          <w:tcPr>
            <w:tcW w:w="2332" w:type="dxa"/>
            <w:vAlign w:val="center"/>
          </w:tcPr>
          <w:p w14:paraId="062B4255" w14:textId="77777777"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i/>
                <w:sz w:val="28"/>
                <w:szCs w:val="28"/>
              </w:rPr>
              <w:t>ln</w:t>
            </w:r>
            <w:r w:rsidRPr="006545AD">
              <w:rPr>
                <w:rFonts w:ascii="Times New Roman" w:eastAsia="Times New Roman" w:hAnsi="Times New Roman" w:cs="Times New Roman"/>
                <w:sz w:val="28"/>
                <w:szCs w:val="28"/>
              </w:rPr>
              <w:t xml:space="preserve"> 75000 – </w:t>
            </w:r>
            <w:r w:rsidRPr="006545AD">
              <w:rPr>
                <w:rFonts w:ascii="Times New Roman" w:eastAsia="Times New Roman" w:hAnsi="Times New Roman" w:cs="Times New Roman"/>
                <w:i/>
                <w:sz w:val="28"/>
                <w:szCs w:val="28"/>
              </w:rPr>
              <w:t>ln</w:t>
            </w:r>
            <w:r w:rsidRPr="006545AD">
              <w:rPr>
                <w:rFonts w:ascii="Times New Roman" w:eastAsia="Times New Roman" w:hAnsi="Times New Roman" w:cs="Times New Roman"/>
                <w:sz w:val="28"/>
                <w:szCs w:val="28"/>
              </w:rPr>
              <w:t xml:space="preserve"> 100</w:t>
            </w:r>
          </w:p>
        </w:tc>
      </w:tr>
    </w:tbl>
    <w:p w14:paraId="4035D065" w14:textId="3F767ED3" w:rsidR="00AB209B" w:rsidRPr="006545AD" w:rsidRDefault="00AB209B" w:rsidP="00AB209B">
      <w:pPr>
        <w:shd w:val="clear" w:color="auto" w:fill="FFFFFF"/>
        <w:spacing w:before="60" w:after="60" w:line="36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sz w:val="28"/>
          <w:szCs w:val="28"/>
        </w:rPr>
        <w:tab/>
        <w:t>Trong đó:</w:t>
      </w:r>
    </w:p>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371"/>
      </w:tblGrid>
      <w:tr w:rsidR="00AB209B" w:rsidRPr="006545AD" w14:paraId="587AF925" w14:textId="77777777" w:rsidTr="005725BC">
        <w:trPr>
          <w:jc w:val="center"/>
        </w:trPr>
        <w:tc>
          <w:tcPr>
            <w:tcW w:w="1276" w:type="dxa"/>
          </w:tcPr>
          <w:p w14:paraId="6B8881F7" w14:textId="77777777" w:rsidR="00AB209B" w:rsidRPr="006545AD" w:rsidRDefault="00AB209B" w:rsidP="005725BC">
            <w:pPr>
              <w:shd w:val="clear" w:color="auto" w:fill="FFFFFF"/>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I</w:t>
            </w:r>
            <w:r w:rsidRPr="006545AD">
              <w:rPr>
                <w:rFonts w:ascii="Times New Roman" w:eastAsia="Times New Roman" w:hAnsi="Times New Roman" w:cs="Times New Roman"/>
                <w:i/>
                <w:sz w:val="28"/>
                <w:szCs w:val="28"/>
                <w:vertAlign w:val="subscript"/>
              </w:rPr>
              <w:t xml:space="preserve">thu nhập     </w:t>
            </w:r>
            <w:r w:rsidRPr="006545AD">
              <w:rPr>
                <w:rFonts w:ascii="Times New Roman" w:eastAsia="Times New Roman" w:hAnsi="Times New Roman" w:cs="Times New Roman"/>
                <w:sz w:val="28"/>
                <w:szCs w:val="28"/>
              </w:rPr>
              <w:t>:</w:t>
            </w:r>
          </w:p>
        </w:tc>
        <w:tc>
          <w:tcPr>
            <w:tcW w:w="7371" w:type="dxa"/>
          </w:tcPr>
          <w:p w14:paraId="6EEEC14F" w14:textId="77777777" w:rsidR="00AB209B" w:rsidRPr="006545AD" w:rsidRDefault="00AB209B" w:rsidP="005725BC">
            <w:pPr>
              <w:shd w:val="clear" w:color="auto" w:fill="FFFFFF"/>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Chỉ số thu nhập;</w:t>
            </w:r>
          </w:p>
        </w:tc>
      </w:tr>
      <w:tr w:rsidR="00AB209B" w:rsidRPr="006545AD" w14:paraId="4FA9CF32" w14:textId="77777777" w:rsidTr="005725BC">
        <w:trPr>
          <w:trHeight w:val="74"/>
          <w:jc w:val="center"/>
        </w:trPr>
        <w:tc>
          <w:tcPr>
            <w:tcW w:w="1276" w:type="dxa"/>
          </w:tcPr>
          <w:p w14:paraId="00B4ED9E" w14:textId="77777777" w:rsidR="00AB209B" w:rsidRPr="006545AD" w:rsidRDefault="00AB209B" w:rsidP="005725BC">
            <w:pPr>
              <w:shd w:val="clear" w:color="auto" w:fill="FFFFFF"/>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i/>
                <w:sz w:val="28"/>
                <w:szCs w:val="28"/>
              </w:rPr>
              <w:t>ln</w:t>
            </w:r>
            <w:r w:rsidRPr="006545AD">
              <w:rPr>
                <w:rFonts w:ascii="Times New Roman" w:eastAsia="Times New Roman" w:hAnsi="Times New Roman" w:cs="Times New Roman"/>
                <w:i/>
                <w:sz w:val="28"/>
                <w:szCs w:val="28"/>
                <w:vertAlign w:val="subscript"/>
              </w:rPr>
              <w:t xml:space="preserve">              </w:t>
            </w:r>
            <w:r w:rsidRPr="006545AD">
              <w:rPr>
                <w:rFonts w:ascii="Times New Roman" w:eastAsia="Times New Roman" w:hAnsi="Times New Roman" w:cs="Times New Roman"/>
                <w:sz w:val="28"/>
                <w:szCs w:val="28"/>
              </w:rPr>
              <w:t>:</w:t>
            </w:r>
          </w:p>
        </w:tc>
        <w:tc>
          <w:tcPr>
            <w:tcW w:w="7371" w:type="dxa"/>
          </w:tcPr>
          <w:p w14:paraId="380C6C76" w14:textId="77777777" w:rsidR="00AB209B" w:rsidRPr="006545AD" w:rsidRDefault="00AB209B" w:rsidP="005725BC">
            <w:pPr>
              <w:shd w:val="clear" w:color="auto" w:fill="FFFFFF"/>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Phép toán logarit tự nhiên;</w:t>
            </w:r>
          </w:p>
        </w:tc>
      </w:tr>
      <w:tr w:rsidR="00AB209B" w:rsidRPr="006545AD" w14:paraId="592BA0CB" w14:textId="77777777" w:rsidTr="005725BC">
        <w:trPr>
          <w:trHeight w:val="264"/>
          <w:jc w:val="center"/>
        </w:trPr>
        <w:tc>
          <w:tcPr>
            <w:tcW w:w="1276" w:type="dxa"/>
          </w:tcPr>
          <w:p w14:paraId="407E9EC9" w14:textId="037D8396" w:rsidR="00AB209B" w:rsidRPr="006545AD" w:rsidRDefault="00EF5502" w:rsidP="005725BC">
            <w:pPr>
              <w:shd w:val="clear" w:color="auto" w:fill="FFFFFF"/>
              <w:spacing w:before="60" w:after="60" w:line="34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thực</m:t>
                  </m:r>
                </m:sup>
              </m:sSubSup>
            </m:oMath>
            <w:r w:rsidR="00AB209B" w:rsidRPr="006545AD">
              <w:rPr>
                <w:rFonts w:ascii="Times New Roman" w:eastAsia="Times New Roman" w:hAnsi="Times New Roman" w:cs="Times New Roman"/>
                <w:i/>
                <w:sz w:val="28"/>
                <w:szCs w:val="28"/>
                <w:vertAlign w:val="subscript"/>
              </w:rPr>
              <w:t xml:space="preserve">      </w:t>
            </w:r>
            <w:r w:rsidR="00AB209B" w:rsidRPr="006545AD">
              <w:rPr>
                <w:rFonts w:ascii="Times New Roman" w:eastAsia="Times New Roman" w:hAnsi="Times New Roman" w:cs="Times New Roman"/>
                <w:sz w:val="28"/>
                <w:szCs w:val="28"/>
              </w:rPr>
              <w:t>:</w:t>
            </w:r>
          </w:p>
        </w:tc>
        <w:tc>
          <w:tcPr>
            <w:tcW w:w="7371" w:type="dxa"/>
          </w:tcPr>
          <w:p w14:paraId="549E54E4" w14:textId="77777777" w:rsidR="00AB209B" w:rsidRPr="006545AD" w:rsidRDefault="00AB209B" w:rsidP="005725BC">
            <w:pPr>
              <w:shd w:val="clear" w:color="auto" w:fill="FFFFFF"/>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GNI bình quân đầu người thực tế đạt được, tính theo USD - PPP;</w:t>
            </w:r>
          </w:p>
        </w:tc>
      </w:tr>
      <w:tr w:rsidR="00AB209B" w:rsidRPr="006545AD" w14:paraId="65BA604E" w14:textId="77777777" w:rsidTr="005725BC">
        <w:trPr>
          <w:trHeight w:val="82"/>
          <w:jc w:val="center"/>
        </w:trPr>
        <w:tc>
          <w:tcPr>
            <w:tcW w:w="1276" w:type="dxa"/>
          </w:tcPr>
          <w:p w14:paraId="79C47026" w14:textId="5336BAB8" w:rsidR="00AB209B" w:rsidRPr="006545AD" w:rsidRDefault="00EF5502" w:rsidP="005725BC">
            <w:pPr>
              <w:shd w:val="clear" w:color="auto" w:fill="FFFFFF"/>
              <w:spacing w:before="60" w:after="60" w:line="34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min</m:t>
                  </m:r>
                </m:sup>
              </m:sSubSup>
            </m:oMath>
            <w:r w:rsidR="00AB209B" w:rsidRPr="006545AD">
              <w:rPr>
                <w:rFonts w:ascii="Times New Roman" w:eastAsia="Times New Roman" w:hAnsi="Times New Roman" w:cs="Times New Roman"/>
                <w:i/>
                <w:sz w:val="28"/>
                <w:szCs w:val="28"/>
                <w:vertAlign w:val="subscript"/>
              </w:rPr>
              <w:t xml:space="preserve">       </w:t>
            </w:r>
            <w:r w:rsidR="00AB209B" w:rsidRPr="006545AD">
              <w:rPr>
                <w:rFonts w:ascii="Times New Roman" w:eastAsia="Times New Roman" w:hAnsi="Times New Roman" w:cs="Times New Roman"/>
                <w:sz w:val="28"/>
                <w:szCs w:val="28"/>
              </w:rPr>
              <w:t>:</w:t>
            </w:r>
          </w:p>
        </w:tc>
        <w:tc>
          <w:tcPr>
            <w:tcW w:w="7371" w:type="dxa"/>
          </w:tcPr>
          <w:p w14:paraId="000F4AEF" w14:textId="77777777" w:rsidR="00AB209B" w:rsidRPr="006545AD" w:rsidRDefault="00AB209B" w:rsidP="005725BC">
            <w:pPr>
              <w:shd w:val="clear" w:color="auto" w:fill="FFFFFF"/>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GNI bình quân đầu người tối thiểu với mức cố định là 100 USD - PPP;</w:t>
            </w:r>
          </w:p>
        </w:tc>
      </w:tr>
      <w:tr w:rsidR="00AB209B" w:rsidRPr="006545AD" w14:paraId="5A667B58" w14:textId="77777777" w:rsidTr="005725BC">
        <w:trPr>
          <w:trHeight w:val="306"/>
          <w:jc w:val="center"/>
        </w:trPr>
        <w:tc>
          <w:tcPr>
            <w:tcW w:w="1276" w:type="dxa"/>
          </w:tcPr>
          <w:p w14:paraId="3A0D73FE" w14:textId="65F028AB" w:rsidR="00AB209B" w:rsidRPr="006545AD" w:rsidRDefault="00EF5502" w:rsidP="005725BC">
            <w:pPr>
              <w:shd w:val="clear" w:color="auto" w:fill="FFFFFF"/>
              <w:spacing w:before="60" w:after="60" w:line="340" w:lineRule="exact"/>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GNI</m:t>
                  </m:r>
                </m:sub>
                <m:sup>
                  <m:r>
                    <w:rPr>
                      <w:rFonts w:ascii="Cambria Math" w:eastAsia="Times New Roman" w:hAnsi="Cambria Math" w:cs="Times New Roman"/>
                      <w:sz w:val="28"/>
                      <w:szCs w:val="28"/>
                    </w:rPr>
                    <m:t>max</m:t>
                  </m:r>
                </m:sup>
              </m:sSubSup>
            </m:oMath>
            <w:r w:rsidR="00AB209B" w:rsidRPr="006545AD">
              <w:rPr>
                <w:rFonts w:ascii="Times New Roman" w:eastAsia="Times New Roman" w:hAnsi="Times New Roman" w:cs="Times New Roman"/>
                <w:i/>
                <w:sz w:val="28"/>
                <w:szCs w:val="28"/>
                <w:vertAlign w:val="subscript"/>
              </w:rPr>
              <w:t xml:space="preserve">      </w:t>
            </w:r>
            <w:r w:rsidR="00AB209B" w:rsidRPr="006545AD">
              <w:rPr>
                <w:rFonts w:ascii="Times New Roman" w:eastAsia="Times New Roman" w:hAnsi="Times New Roman" w:cs="Times New Roman"/>
                <w:sz w:val="28"/>
                <w:szCs w:val="28"/>
              </w:rPr>
              <w:t>:</w:t>
            </w:r>
          </w:p>
        </w:tc>
        <w:tc>
          <w:tcPr>
            <w:tcW w:w="7371" w:type="dxa"/>
          </w:tcPr>
          <w:p w14:paraId="3127AEB7" w14:textId="77777777" w:rsidR="00AB209B" w:rsidRPr="006545AD" w:rsidRDefault="00AB209B" w:rsidP="005725BC">
            <w:pPr>
              <w:shd w:val="clear" w:color="auto" w:fill="FFFFFF"/>
              <w:spacing w:before="60" w:after="60" w:line="34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GNI bình quân đầu người tối đa với mức cố định là 75000 USD - PPP.</w:t>
            </w:r>
          </w:p>
        </w:tc>
      </w:tr>
    </w:tbl>
    <w:p w14:paraId="2896C925" w14:textId="3FEC2C95"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t>2. Phân tổ chủ yếu:</w:t>
      </w:r>
      <w:r w:rsidRPr="006545AD">
        <w:rPr>
          <w:rFonts w:ascii="Times New Roman" w:eastAsia="Times New Roman" w:hAnsi="Times New Roman" w:cs="Times New Roman"/>
          <w:sz w:val="28"/>
          <w:szCs w:val="28"/>
        </w:rPr>
        <w:t xml:space="preserve"> Tỉnh/thành phố trực thuộc Trung ương.</w:t>
      </w:r>
    </w:p>
    <w:p w14:paraId="3BAF52AE" w14:textId="6277385A"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t xml:space="preserve">3. Kỳ công bố: </w:t>
      </w:r>
      <w:r w:rsidRPr="006545AD">
        <w:rPr>
          <w:rFonts w:ascii="Times New Roman" w:eastAsia="Times New Roman" w:hAnsi="Times New Roman" w:cs="Times New Roman"/>
          <w:sz w:val="28"/>
          <w:szCs w:val="28"/>
        </w:rPr>
        <w:t>Năm</w:t>
      </w:r>
    </w:p>
    <w:p w14:paraId="5003A691" w14:textId="12B9C7F0"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t xml:space="preserve">4. Nguồn số liệu: </w:t>
      </w:r>
    </w:p>
    <w:p w14:paraId="3719DBD9" w14:textId="77777777"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ab/>
      </w:r>
      <w:r w:rsidRPr="006545AD">
        <w:rPr>
          <w:rFonts w:ascii="Times New Roman" w:eastAsia="Times New Roman" w:hAnsi="Times New Roman" w:cs="Times New Roman"/>
          <w:sz w:val="28"/>
          <w:szCs w:val="28"/>
        </w:rPr>
        <w:t>- Tổng điều tra dân số và nhà ở;</w:t>
      </w:r>
    </w:p>
    <w:p w14:paraId="7613DF22" w14:textId="7C380399"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Tổng điều tra kinh tế;</w:t>
      </w:r>
    </w:p>
    <w:p w14:paraId="73640A3E" w14:textId="0BEEF461"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Điều tra dân số và nhà ở giữa kỳ;</w:t>
      </w:r>
    </w:p>
    <w:p w14:paraId="5FE9E621" w14:textId="6921E103"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Điều tra biến động dân số và kế hoạch hóa gia đình;</w:t>
      </w:r>
    </w:p>
    <w:p w14:paraId="2B2E78B3" w14:textId="53C21DA2"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Khảo sát mức sống dân cư Việt Nam;</w:t>
      </w:r>
    </w:p>
    <w:p w14:paraId="30D93668" w14:textId="58F7BF1E"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Điều tra giá tiêu dùng (CPI);</w:t>
      </w:r>
    </w:p>
    <w:p w14:paraId="18090348" w14:textId="336BD7FD"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Điều tra doanh nghiệp;</w:t>
      </w:r>
    </w:p>
    <w:p w14:paraId="2CCFB048" w14:textId="4B49C293"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ab/>
        <w:t>- Báo cáo hành chính;</w:t>
      </w:r>
    </w:p>
    <w:p w14:paraId="36AA8CCE" w14:textId="44CEC91C"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ab/>
        <w:t>- Chương trình so sánh quốc tế (ICP).</w:t>
      </w:r>
    </w:p>
    <w:p w14:paraId="47E87BB9" w14:textId="4C0616B4" w:rsidR="00AB209B" w:rsidRPr="006545AD" w:rsidRDefault="00AB209B" w:rsidP="005725BC">
      <w:pPr>
        <w:shd w:val="clear" w:color="auto" w:fill="FFFFFF"/>
        <w:spacing w:before="60" w:after="60" w:line="330" w:lineRule="exact"/>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sz w:val="28"/>
          <w:szCs w:val="28"/>
        </w:rPr>
        <w:tab/>
      </w:r>
      <w:r w:rsidRPr="006545AD">
        <w:rPr>
          <w:rFonts w:ascii="Times New Roman" w:eastAsia="Times New Roman" w:hAnsi="Times New Roman" w:cs="Times New Roman"/>
          <w:b/>
          <w:spacing w:val="-4"/>
          <w:sz w:val="28"/>
          <w:szCs w:val="28"/>
        </w:rPr>
        <w:t xml:space="preserve">5. Cơ quan chịu trách nhiệm thu thập, tổng hợp: </w:t>
      </w:r>
      <w:r w:rsidRPr="006545AD">
        <w:rPr>
          <w:rFonts w:ascii="Times New Roman" w:eastAsia="Times New Roman" w:hAnsi="Times New Roman" w:cs="Times New Roman"/>
          <w:spacing w:val="-4"/>
          <w:sz w:val="28"/>
          <w:szCs w:val="28"/>
        </w:rPr>
        <w:t>Bộ Kế hoạch và Đầu tư (Tổng cục Thống kê).</w:t>
      </w:r>
    </w:p>
    <w:p w14:paraId="20CD828C" w14:textId="254D38C6" w:rsidR="00F408D5" w:rsidRPr="006545AD" w:rsidRDefault="005B04E9" w:rsidP="005725BC">
      <w:pPr>
        <w:spacing w:before="60" w:after="60" w:line="33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4.</w:t>
      </w:r>
      <w:r w:rsidR="009A51F4" w:rsidRPr="006545AD">
        <w:rPr>
          <w:rFonts w:ascii="Times New Roman" w:eastAsia="Times New Roman" w:hAnsi="Times New Roman" w:cs="Times New Roman"/>
          <w:b/>
          <w:sz w:val="28"/>
          <w:szCs w:val="28"/>
        </w:rPr>
        <w:t>18</w:t>
      </w:r>
      <w:r w:rsidR="006E7C70" w:rsidRPr="006545AD">
        <w:rPr>
          <w:rFonts w:ascii="Times New Roman" w:eastAsia="Times New Roman" w:hAnsi="Times New Roman" w:cs="Times New Roman"/>
          <w:b/>
          <w:sz w:val="28"/>
          <w:szCs w:val="28"/>
        </w:rPr>
        <w:t>. Tỷ lệ trẻ em dưới 05 tuổi suy dinh dưỡng</w:t>
      </w:r>
    </w:p>
    <w:p w14:paraId="0715FB12" w14:textId="77777777" w:rsidR="00F408D5" w:rsidRPr="006545AD" w:rsidRDefault="005B04E9" w:rsidP="005725BC">
      <w:pPr>
        <w:spacing w:before="60" w:after="60" w:line="330" w:lineRule="exact"/>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ab/>
      </w:r>
      <w:r w:rsidR="006E7C70" w:rsidRPr="006545AD">
        <w:rPr>
          <w:rFonts w:ascii="Times New Roman" w:eastAsia="Times New Roman" w:hAnsi="Times New Roman" w:cs="Times New Roman"/>
          <w:b/>
          <w:sz w:val="28"/>
          <w:szCs w:val="28"/>
        </w:rPr>
        <w:t>1. Khái niệm, phương pháp tính</w:t>
      </w:r>
    </w:p>
    <w:p w14:paraId="714D9C94" w14:textId="77777777" w:rsidR="00F408D5" w:rsidRPr="006545AD" w:rsidRDefault="006E7C70" w:rsidP="005725BC">
      <w:pPr>
        <w:spacing w:before="60" w:after="60" w:line="33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trẻ em dưới 05 tuổi suy dinh dưỡng là số trẻ em dưới 05 tuổi bị suy dinh dưỡng (SDD) ít nhất 1 trong 3 thể: Cân nặng theo tuổi; chiều cao theo tuổi hoặc cân nặng theo chiều cao tính trên 100 trẻ được cân đo của khu vực tại thời điểm điều tra.</w:t>
      </w:r>
    </w:p>
    <w:p w14:paraId="497CDF10" w14:textId="77777777" w:rsidR="00F408D5" w:rsidRPr="006545AD" w:rsidRDefault="006E7C70" w:rsidP="005725BC">
      <w:pPr>
        <w:spacing w:before="60" w:after="60" w:line="33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Trẻ em suy dinh dưỡng cân nặng theo tuổi là trẻ em dưới 05 tuổi có cân nặng theo tuổi thấp dưới trừ hai độ lệch chuẩn (-2SD) của cân nặng trung vị của quần thể tham khảo của Tổ chức Y tế Thế giới.</w:t>
      </w:r>
    </w:p>
    <w:p w14:paraId="5686480C" w14:textId="77777777" w:rsidR="00F408D5" w:rsidRPr="006545AD" w:rsidRDefault="006E7C70" w:rsidP="005725BC">
      <w:pPr>
        <w:spacing w:before="60" w:after="60" w:line="33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Trẻ em suy dinh dưỡng chiều cao theo tuổi là trẻ em dưới 05 tuổi có chiều cao theo tuổi thấp dưới trừ hai độ lệch chuẩn (-2SD) của chiều cao trung vị của quần thể tham khảo của Tổ chức Y tế Thế giới.</w:t>
      </w:r>
    </w:p>
    <w:p w14:paraId="7886C906" w14:textId="77777777" w:rsidR="00F408D5" w:rsidRPr="006545AD" w:rsidRDefault="006E7C70" w:rsidP="005725BC">
      <w:pPr>
        <w:spacing w:before="60" w:after="60" w:line="33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Trẻ em suy dinh dưỡng cân nặng theo chiều cao là trẻ em dưới 05 tuổi có cân nặng theo chiều cao thấp dưới trừ hai độ lệch chuẩn (-2SD) của cân nặng trung vị của quần thể tham khảo của Tổ chức Y tế Thế giới.</w:t>
      </w:r>
    </w:p>
    <w:p w14:paraId="65DAF51F" w14:textId="77777777" w:rsidR="00F408D5" w:rsidRPr="006545AD" w:rsidRDefault="006E7C70" w:rsidP="005725BC">
      <w:pPr>
        <w:spacing w:before="60" w:after="60" w:line="33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Quần thể tham khảo của Tổ chức Y tế Thế giới (WHO) là một nhóm trẻ có sức khoẻ, cân nặng và chiều cao phát triển bình thường. Cân nặng và chiều cao của những trẻ em này được Tổ chức Y tế Thế giới dùng làm chuẩn để đánh giá tình trạng dinh dưỡng của những trẻ em cùng độ tuổi. Quần thể tham khảo năm 2006 của Tổ chức Y tế Thế giới là chuẩn mới thay thế cho quần thể tham khảo cũ trước đây của Hoa Kỳ và của Tổ chức Y tế Thế giới.</w:t>
      </w:r>
    </w:p>
    <w:p w14:paraId="1BFA8F8A" w14:textId="77777777" w:rsidR="00F408D5" w:rsidRPr="006545AD" w:rsidRDefault="006E7C70" w:rsidP="005725BC">
      <w:pPr>
        <w:spacing w:before="60" w:after="60" w:line="33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Tình trạng dinh dưỡng được phân loại theo các mức sau:</w:t>
      </w:r>
    </w:p>
    <w:p w14:paraId="76615C79" w14:textId="77777777" w:rsidR="00F408D5" w:rsidRPr="006545AD" w:rsidRDefault="006E7C70" w:rsidP="005725BC">
      <w:pPr>
        <w:spacing w:before="60" w:after="60" w:line="33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Bình thường: ³ - 2SD</w:t>
      </w:r>
    </w:p>
    <w:p w14:paraId="102588C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Suy dinh dưỡng:</w:t>
      </w:r>
    </w:p>
    <w:p w14:paraId="0AFC95F5"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Độ I (vừa): &lt; - 2SD và  ³  - 3SD</w:t>
      </w:r>
    </w:p>
    <w:p w14:paraId="171187D0"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Độ II (nặng): &lt; - 3SD và ³ - 4SD</w:t>
      </w:r>
    </w:p>
    <w:p w14:paraId="1693E5B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Độ III (rất nặng): &lt; - 4SD</w:t>
      </w:r>
    </w:p>
    <w:p w14:paraId="42DF9ACE"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Trong đó, SD là độ chênh lệch chuẩn.</w:t>
      </w:r>
    </w:p>
    <w:p w14:paraId="1742B312" w14:textId="77777777" w:rsidR="00F408D5"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Khái niệm suy dinh dưỡng theo nghĩa rộng cũng gồm cả hiện tượng thừa dinh dưỡng, hiện tượng béo phì.</w:t>
      </w:r>
    </w:p>
    <w:p w14:paraId="480F9B76" w14:textId="5F00AF6E" w:rsidR="00E9456D" w:rsidRPr="006545AD" w:rsidRDefault="006E7C70" w:rsidP="00923EF8">
      <w:pPr>
        <w:spacing w:before="60" w:after="60" w:line="36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Công thức tính:</w:t>
      </w:r>
    </w:p>
    <w:tbl>
      <w:tblPr>
        <w:tblStyle w:val="8"/>
        <w:tblW w:w="5000" w:type="pct"/>
        <w:jc w:val="center"/>
        <w:tblBorders>
          <w:top w:val="nil"/>
          <w:left w:val="nil"/>
          <w:bottom w:val="nil"/>
          <w:right w:val="nil"/>
          <w:insideH w:val="nil"/>
          <w:insideV w:val="nil"/>
        </w:tblBorders>
        <w:tblLook w:val="0600" w:firstRow="0" w:lastRow="0" w:firstColumn="0" w:lastColumn="0" w:noHBand="1" w:noVBand="1"/>
      </w:tblPr>
      <w:tblGrid>
        <w:gridCol w:w="2978"/>
        <w:gridCol w:w="568"/>
        <w:gridCol w:w="4679"/>
        <w:gridCol w:w="847"/>
      </w:tblGrid>
      <w:tr w:rsidR="00F408D5" w:rsidRPr="006545AD" w14:paraId="2C8369B2" w14:textId="77777777" w:rsidTr="005725BC">
        <w:trPr>
          <w:trHeight w:val="710"/>
          <w:jc w:val="center"/>
        </w:trPr>
        <w:tc>
          <w:tcPr>
            <w:tcW w:w="1641" w:type="pct"/>
            <w:vMerge w:val="restart"/>
            <w:tcBorders>
              <w:top w:val="nil"/>
              <w:left w:val="nil"/>
              <w:bottom w:val="nil"/>
              <w:right w:val="nil"/>
            </w:tcBorders>
            <w:tcMar>
              <w:top w:w="100" w:type="dxa"/>
              <w:left w:w="20" w:type="dxa"/>
              <w:bottom w:w="100" w:type="dxa"/>
              <w:right w:w="20" w:type="dxa"/>
            </w:tcMar>
            <w:vAlign w:val="center"/>
          </w:tcPr>
          <w:p w14:paraId="19CBCFC4"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Tỷ lệ trẻ em dưới</w:t>
            </w:r>
          </w:p>
          <w:p w14:paraId="3AEE5A23"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05 tuổi suy dinh dưỡng cân nặng theo tuổi (%)</w:t>
            </w:r>
          </w:p>
        </w:tc>
        <w:tc>
          <w:tcPr>
            <w:tcW w:w="313" w:type="pct"/>
            <w:vMerge w:val="restart"/>
            <w:tcBorders>
              <w:top w:val="nil"/>
              <w:left w:val="nil"/>
              <w:bottom w:val="nil"/>
              <w:right w:val="nil"/>
            </w:tcBorders>
            <w:tcMar>
              <w:top w:w="100" w:type="dxa"/>
              <w:left w:w="20" w:type="dxa"/>
              <w:bottom w:w="100" w:type="dxa"/>
              <w:right w:w="20" w:type="dxa"/>
            </w:tcMar>
            <w:vAlign w:val="center"/>
          </w:tcPr>
          <w:p w14:paraId="0043A4A5"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w:t>
            </w:r>
          </w:p>
        </w:tc>
        <w:tc>
          <w:tcPr>
            <w:tcW w:w="2579" w:type="pct"/>
            <w:tcBorders>
              <w:top w:val="nil"/>
              <w:left w:val="nil"/>
              <w:bottom w:val="single" w:sz="8" w:space="0" w:color="000000"/>
              <w:right w:val="nil"/>
            </w:tcBorders>
            <w:tcMar>
              <w:top w:w="100" w:type="dxa"/>
              <w:left w:w="20" w:type="dxa"/>
              <w:bottom w:w="100" w:type="dxa"/>
              <w:right w:w="20" w:type="dxa"/>
            </w:tcMar>
            <w:vAlign w:val="center"/>
          </w:tcPr>
          <w:p w14:paraId="3E100F5B"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trẻ em dưới 05 tuổi suy dinh dưỡng</w:t>
            </w:r>
          </w:p>
          <w:p w14:paraId="0929DF7E"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cân nặng theo tuổi</w:t>
            </w:r>
          </w:p>
        </w:tc>
        <w:tc>
          <w:tcPr>
            <w:tcW w:w="468" w:type="pct"/>
            <w:vMerge w:val="restart"/>
            <w:tcBorders>
              <w:top w:val="nil"/>
              <w:left w:val="nil"/>
              <w:bottom w:val="nil"/>
              <w:right w:val="nil"/>
            </w:tcBorders>
            <w:tcMar>
              <w:top w:w="100" w:type="dxa"/>
              <w:left w:w="20" w:type="dxa"/>
              <w:bottom w:w="100" w:type="dxa"/>
              <w:right w:w="20" w:type="dxa"/>
            </w:tcMar>
            <w:vAlign w:val="center"/>
          </w:tcPr>
          <w:p w14:paraId="24640793" w14:textId="7F294A42" w:rsidR="00F408D5" w:rsidRPr="006545AD" w:rsidRDefault="00B27DCE"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vi-VN"/>
              </w:rPr>
              <w:t>x</w:t>
            </w:r>
            <w:r w:rsidR="006E7C70" w:rsidRPr="006545AD">
              <w:rPr>
                <w:rFonts w:ascii="Times New Roman" w:eastAsia="Times New Roman" w:hAnsi="Times New Roman" w:cs="Times New Roman"/>
                <w:sz w:val="28"/>
                <w:szCs w:val="28"/>
              </w:rPr>
              <w:t xml:space="preserve"> 100</w:t>
            </w:r>
          </w:p>
        </w:tc>
      </w:tr>
      <w:tr w:rsidR="00F408D5" w:rsidRPr="006545AD" w14:paraId="4913CF95" w14:textId="77777777" w:rsidTr="005725BC">
        <w:trPr>
          <w:trHeight w:val="543"/>
          <w:jc w:val="center"/>
        </w:trPr>
        <w:tc>
          <w:tcPr>
            <w:tcW w:w="1641" w:type="pct"/>
            <w:vMerge/>
            <w:tcBorders>
              <w:bottom w:val="nil"/>
              <w:right w:val="nil"/>
            </w:tcBorders>
            <w:shd w:val="clear" w:color="auto" w:fill="auto"/>
            <w:tcMar>
              <w:top w:w="100" w:type="dxa"/>
              <w:left w:w="100" w:type="dxa"/>
              <w:bottom w:w="100" w:type="dxa"/>
              <w:right w:w="100" w:type="dxa"/>
            </w:tcMar>
            <w:vAlign w:val="center"/>
          </w:tcPr>
          <w:p w14:paraId="487A9C98"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c>
          <w:tcPr>
            <w:tcW w:w="313" w:type="pct"/>
            <w:vMerge/>
            <w:tcBorders>
              <w:bottom w:val="nil"/>
              <w:right w:val="nil"/>
            </w:tcBorders>
            <w:shd w:val="clear" w:color="auto" w:fill="auto"/>
            <w:tcMar>
              <w:top w:w="100" w:type="dxa"/>
              <w:left w:w="100" w:type="dxa"/>
              <w:bottom w:w="100" w:type="dxa"/>
              <w:right w:w="100" w:type="dxa"/>
            </w:tcMar>
            <w:vAlign w:val="center"/>
          </w:tcPr>
          <w:p w14:paraId="22D63F46"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c>
          <w:tcPr>
            <w:tcW w:w="2579" w:type="pct"/>
            <w:tcBorders>
              <w:top w:val="nil"/>
              <w:left w:val="nil"/>
              <w:bottom w:val="nil"/>
              <w:right w:val="nil"/>
            </w:tcBorders>
            <w:shd w:val="clear" w:color="auto" w:fill="auto"/>
            <w:tcMar>
              <w:top w:w="100" w:type="dxa"/>
              <w:left w:w="20" w:type="dxa"/>
              <w:bottom w:w="100" w:type="dxa"/>
              <w:right w:w="20" w:type="dxa"/>
            </w:tcMar>
            <w:vAlign w:val="center"/>
          </w:tcPr>
          <w:p w14:paraId="104621EC"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trẻ em dưới 05 tuổi được cân</w:t>
            </w:r>
          </w:p>
        </w:tc>
        <w:tc>
          <w:tcPr>
            <w:tcW w:w="468" w:type="pct"/>
            <w:vMerge/>
            <w:tcBorders>
              <w:bottom w:val="nil"/>
              <w:right w:val="nil"/>
            </w:tcBorders>
            <w:shd w:val="clear" w:color="auto" w:fill="auto"/>
            <w:tcMar>
              <w:top w:w="100" w:type="dxa"/>
              <w:left w:w="100" w:type="dxa"/>
              <w:bottom w:w="100" w:type="dxa"/>
              <w:right w:w="100" w:type="dxa"/>
            </w:tcMar>
            <w:vAlign w:val="center"/>
          </w:tcPr>
          <w:p w14:paraId="6D9004C4"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r>
    </w:tbl>
    <w:tbl>
      <w:tblPr>
        <w:tblStyle w:val="7"/>
        <w:tblW w:w="5026" w:type="pct"/>
        <w:jc w:val="center"/>
        <w:tblBorders>
          <w:top w:val="nil"/>
          <w:left w:val="nil"/>
          <w:bottom w:val="nil"/>
          <w:right w:val="nil"/>
          <w:insideH w:val="nil"/>
          <w:insideV w:val="nil"/>
        </w:tblBorders>
        <w:tblLook w:val="0600" w:firstRow="0" w:lastRow="0" w:firstColumn="0" w:lastColumn="0" w:noHBand="1" w:noVBand="1"/>
      </w:tblPr>
      <w:tblGrid>
        <w:gridCol w:w="2977"/>
        <w:gridCol w:w="569"/>
        <w:gridCol w:w="4678"/>
        <w:gridCol w:w="895"/>
      </w:tblGrid>
      <w:tr w:rsidR="00F408D5" w:rsidRPr="006545AD" w14:paraId="5A88B124" w14:textId="77777777" w:rsidTr="005725BC">
        <w:trPr>
          <w:trHeight w:val="682"/>
          <w:jc w:val="center"/>
        </w:trPr>
        <w:tc>
          <w:tcPr>
            <w:tcW w:w="1632" w:type="pct"/>
            <w:vMerge w:val="restart"/>
            <w:tcBorders>
              <w:top w:val="nil"/>
              <w:left w:val="nil"/>
              <w:bottom w:val="nil"/>
              <w:right w:val="nil"/>
            </w:tcBorders>
            <w:shd w:val="clear" w:color="auto" w:fill="auto"/>
            <w:tcMar>
              <w:top w:w="100" w:type="dxa"/>
              <w:left w:w="100" w:type="dxa"/>
              <w:bottom w:w="100" w:type="dxa"/>
              <w:right w:w="100" w:type="dxa"/>
            </w:tcMar>
            <w:vAlign w:val="center"/>
          </w:tcPr>
          <w:p w14:paraId="180F750D"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lastRenderedPageBreak/>
              <w:t>Tỷ lệ trẻ em dưới</w:t>
            </w:r>
          </w:p>
          <w:p w14:paraId="373DA24B" w14:textId="6E12B518"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05 tuổi suy dinh dưỡng chiều cao</w:t>
            </w:r>
            <w:r w:rsidR="00B27DCE" w:rsidRPr="006545AD">
              <w:rPr>
                <w:rFonts w:ascii="Times New Roman" w:eastAsia="Times New Roman" w:hAnsi="Times New Roman" w:cs="Times New Roman"/>
                <w:sz w:val="28"/>
                <w:szCs w:val="28"/>
                <w:lang w:val="vi-VN"/>
              </w:rPr>
              <w:t xml:space="preserve"> </w:t>
            </w:r>
            <w:r w:rsidRPr="006545AD">
              <w:rPr>
                <w:rFonts w:ascii="Times New Roman" w:eastAsia="Times New Roman" w:hAnsi="Times New Roman" w:cs="Times New Roman"/>
                <w:sz w:val="28"/>
                <w:szCs w:val="28"/>
              </w:rPr>
              <w:t>theo tuổi (%)</w:t>
            </w:r>
          </w:p>
        </w:tc>
        <w:tc>
          <w:tcPr>
            <w:tcW w:w="312" w:type="pct"/>
            <w:vMerge w:val="restart"/>
            <w:tcBorders>
              <w:top w:val="nil"/>
              <w:left w:val="nil"/>
              <w:bottom w:val="nil"/>
              <w:right w:val="nil"/>
            </w:tcBorders>
            <w:shd w:val="clear" w:color="auto" w:fill="auto"/>
            <w:tcMar>
              <w:top w:w="100" w:type="dxa"/>
              <w:left w:w="100" w:type="dxa"/>
              <w:bottom w:w="100" w:type="dxa"/>
              <w:right w:w="100" w:type="dxa"/>
            </w:tcMar>
            <w:vAlign w:val="center"/>
          </w:tcPr>
          <w:p w14:paraId="4047B80F"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565" w:type="pct"/>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1A6CE587"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trẻ em dưới 05 tuổi suy dinh dưỡng chiều cao theo tuổi</w:t>
            </w:r>
          </w:p>
        </w:tc>
        <w:tc>
          <w:tcPr>
            <w:tcW w:w="491" w:type="pct"/>
            <w:vMerge w:val="restart"/>
            <w:tcBorders>
              <w:top w:val="nil"/>
              <w:left w:val="nil"/>
              <w:bottom w:val="nil"/>
              <w:right w:val="nil"/>
            </w:tcBorders>
            <w:shd w:val="clear" w:color="auto" w:fill="auto"/>
            <w:tcMar>
              <w:top w:w="100" w:type="dxa"/>
              <w:left w:w="100" w:type="dxa"/>
              <w:bottom w:w="100" w:type="dxa"/>
              <w:right w:w="100" w:type="dxa"/>
            </w:tcMar>
            <w:vAlign w:val="center"/>
          </w:tcPr>
          <w:p w14:paraId="5EAE29DB" w14:textId="5EBA41F1" w:rsidR="00F408D5" w:rsidRPr="006545AD" w:rsidRDefault="00B27DCE"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vi-VN"/>
              </w:rPr>
              <w:t>x</w:t>
            </w:r>
            <w:r w:rsidRPr="006545AD">
              <w:rPr>
                <w:rFonts w:ascii="Times New Roman" w:eastAsia="Times New Roman" w:hAnsi="Times New Roman" w:cs="Times New Roman"/>
                <w:sz w:val="28"/>
                <w:szCs w:val="28"/>
              </w:rPr>
              <w:t xml:space="preserve"> </w:t>
            </w:r>
            <w:r w:rsidR="006E7C70" w:rsidRPr="006545AD">
              <w:rPr>
                <w:rFonts w:ascii="Times New Roman" w:eastAsia="Times New Roman" w:hAnsi="Times New Roman" w:cs="Times New Roman"/>
                <w:sz w:val="28"/>
                <w:szCs w:val="28"/>
              </w:rPr>
              <w:t>100</w:t>
            </w:r>
          </w:p>
        </w:tc>
      </w:tr>
      <w:tr w:rsidR="00F408D5" w:rsidRPr="006545AD" w14:paraId="19B8C18D" w14:textId="77777777" w:rsidTr="005725BC">
        <w:trPr>
          <w:trHeight w:val="682"/>
          <w:jc w:val="center"/>
        </w:trPr>
        <w:tc>
          <w:tcPr>
            <w:tcW w:w="1632" w:type="pct"/>
            <w:vMerge/>
            <w:tcBorders>
              <w:bottom w:val="nil"/>
              <w:right w:val="nil"/>
            </w:tcBorders>
            <w:shd w:val="clear" w:color="auto" w:fill="auto"/>
            <w:tcMar>
              <w:top w:w="100" w:type="dxa"/>
              <w:left w:w="100" w:type="dxa"/>
              <w:bottom w:w="100" w:type="dxa"/>
              <w:right w:w="100" w:type="dxa"/>
            </w:tcMar>
            <w:vAlign w:val="center"/>
          </w:tcPr>
          <w:p w14:paraId="49009236"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c>
          <w:tcPr>
            <w:tcW w:w="312" w:type="pct"/>
            <w:vMerge/>
            <w:tcBorders>
              <w:bottom w:val="nil"/>
              <w:right w:val="nil"/>
            </w:tcBorders>
            <w:shd w:val="clear" w:color="auto" w:fill="auto"/>
            <w:tcMar>
              <w:top w:w="100" w:type="dxa"/>
              <w:left w:w="100" w:type="dxa"/>
              <w:bottom w:w="100" w:type="dxa"/>
              <w:right w:w="100" w:type="dxa"/>
            </w:tcMar>
            <w:vAlign w:val="center"/>
          </w:tcPr>
          <w:p w14:paraId="35F5FD2E"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c>
          <w:tcPr>
            <w:tcW w:w="2565" w:type="pct"/>
            <w:tcBorders>
              <w:top w:val="nil"/>
              <w:left w:val="nil"/>
              <w:bottom w:val="nil"/>
              <w:right w:val="nil"/>
            </w:tcBorders>
            <w:shd w:val="clear" w:color="auto" w:fill="auto"/>
            <w:tcMar>
              <w:top w:w="100" w:type="dxa"/>
              <w:left w:w="100" w:type="dxa"/>
              <w:bottom w:w="100" w:type="dxa"/>
              <w:right w:w="100" w:type="dxa"/>
            </w:tcMar>
            <w:vAlign w:val="center"/>
          </w:tcPr>
          <w:p w14:paraId="38FEA634" w14:textId="45BF8F09"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Số trẻ em dưới 05 tuổi được đo </w:t>
            </w:r>
            <w:r w:rsidR="00210ED0" w:rsidRPr="006545AD">
              <w:rPr>
                <w:rFonts w:ascii="Times New Roman" w:eastAsia="Times New Roman" w:hAnsi="Times New Roman" w:cs="Times New Roman"/>
                <w:sz w:val="28"/>
                <w:szCs w:val="28"/>
              </w:rPr>
              <w:br/>
            </w:r>
            <w:r w:rsidRPr="006545AD">
              <w:rPr>
                <w:rFonts w:ascii="Times New Roman" w:eastAsia="Times New Roman" w:hAnsi="Times New Roman" w:cs="Times New Roman"/>
                <w:sz w:val="28"/>
                <w:szCs w:val="28"/>
              </w:rPr>
              <w:t>chiều cao</w:t>
            </w:r>
          </w:p>
        </w:tc>
        <w:tc>
          <w:tcPr>
            <w:tcW w:w="491" w:type="pct"/>
            <w:vMerge/>
            <w:tcBorders>
              <w:bottom w:val="nil"/>
              <w:right w:val="nil"/>
            </w:tcBorders>
            <w:shd w:val="clear" w:color="auto" w:fill="auto"/>
            <w:tcMar>
              <w:top w:w="100" w:type="dxa"/>
              <w:left w:w="100" w:type="dxa"/>
              <w:bottom w:w="100" w:type="dxa"/>
              <w:right w:w="100" w:type="dxa"/>
            </w:tcMar>
            <w:vAlign w:val="center"/>
          </w:tcPr>
          <w:p w14:paraId="1C3AE03A"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r>
    </w:tbl>
    <w:tbl>
      <w:tblPr>
        <w:tblStyle w:val="6"/>
        <w:tblW w:w="5000" w:type="pct"/>
        <w:jc w:val="center"/>
        <w:tblBorders>
          <w:top w:val="nil"/>
          <w:left w:val="nil"/>
          <w:bottom w:val="nil"/>
          <w:right w:val="nil"/>
          <w:insideH w:val="nil"/>
          <w:insideV w:val="nil"/>
        </w:tblBorders>
        <w:tblLook w:val="0600" w:firstRow="0" w:lastRow="0" w:firstColumn="0" w:lastColumn="0" w:noHBand="1" w:noVBand="1"/>
      </w:tblPr>
      <w:tblGrid>
        <w:gridCol w:w="2569"/>
        <w:gridCol w:w="659"/>
        <w:gridCol w:w="4995"/>
        <w:gridCol w:w="849"/>
      </w:tblGrid>
      <w:tr w:rsidR="00F408D5" w:rsidRPr="006545AD" w14:paraId="7B3C988E" w14:textId="77777777" w:rsidTr="005725BC">
        <w:trPr>
          <w:trHeight w:val="775"/>
          <w:jc w:val="center"/>
        </w:trPr>
        <w:tc>
          <w:tcPr>
            <w:tcW w:w="1416" w:type="pct"/>
            <w:vMerge w:val="restart"/>
            <w:tcBorders>
              <w:top w:val="nil"/>
              <w:left w:val="nil"/>
              <w:bottom w:val="nil"/>
              <w:right w:val="nil"/>
            </w:tcBorders>
            <w:shd w:val="clear" w:color="auto" w:fill="auto"/>
            <w:tcMar>
              <w:top w:w="100" w:type="dxa"/>
              <w:left w:w="100" w:type="dxa"/>
              <w:bottom w:w="100" w:type="dxa"/>
              <w:right w:w="100" w:type="dxa"/>
            </w:tcMar>
            <w:vAlign w:val="center"/>
          </w:tcPr>
          <w:p w14:paraId="5FE605B4"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xml:space="preserve"> Tỷ lệ trẻ em dưới</w:t>
            </w:r>
          </w:p>
          <w:p w14:paraId="1675AF2C"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05 tuổi suy dinh dưỡng cân nặng</w:t>
            </w:r>
          </w:p>
          <w:p w14:paraId="3BCDEA39"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theo chiều cao (%)</w:t>
            </w:r>
          </w:p>
        </w:tc>
        <w:tc>
          <w:tcPr>
            <w:tcW w:w="363" w:type="pct"/>
            <w:vMerge w:val="restart"/>
            <w:tcBorders>
              <w:top w:val="nil"/>
              <w:left w:val="nil"/>
              <w:bottom w:val="nil"/>
              <w:right w:val="nil"/>
            </w:tcBorders>
            <w:shd w:val="clear" w:color="auto" w:fill="auto"/>
            <w:tcMar>
              <w:top w:w="100" w:type="dxa"/>
              <w:left w:w="100" w:type="dxa"/>
              <w:bottom w:w="100" w:type="dxa"/>
              <w:right w:w="100" w:type="dxa"/>
            </w:tcMar>
            <w:vAlign w:val="center"/>
          </w:tcPr>
          <w:p w14:paraId="659F723C"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w:t>
            </w:r>
          </w:p>
        </w:tc>
        <w:tc>
          <w:tcPr>
            <w:tcW w:w="2752" w:type="pct"/>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30EE465C"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trẻ em dưới 05 tuổi suy dinh dưỡng</w:t>
            </w:r>
          </w:p>
          <w:p w14:paraId="400DF3BD"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cân nặng theo chiều cao</w:t>
            </w:r>
          </w:p>
        </w:tc>
        <w:tc>
          <w:tcPr>
            <w:tcW w:w="468" w:type="pct"/>
            <w:vMerge w:val="restart"/>
            <w:tcBorders>
              <w:top w:val="nil"/>
              <w:left w:val="nil"/>
              <w:bottom w:val="nil"/>
              <w:right w:val="nil"/>
            </w:tcBorders>
            <w:shd w:val="clear" w:color="auto" w:fill="auto"/>
            <w:tcMar>
              <w:top w:w="100" w:type="dxa"/>
              <w:left w:w="100" w:type="dxa"/>
              <w:bottom w:w="100" w:type="dxa"/>
              <w:right w:w="100" w:type="dxa"/>
            </w:tcMar>
            <w:vAlign w:val="center"/>
          </w:tcPr>
          <w:p w14:paraId="724C7BF7" w14:textId="2A80ADDE" w:rsidR="00F408D5" w:rsidRPr="006545AD" w:rsidRDefault="00B27DCE"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lang w:val="vi-VN"/>
              </w:rPr>
              <w:t>x</w:t>
            </w:r>
            <w:r w:rsidR="006E7C70" w:rsidRPr="006545AD">
              <w:rPr>
                <w:rFonts w:ascii="Times New Roman" w:eastAsia="Times New Roman" w:hAnsi="Times New Roman" w:cs="Times New Roman"/>
                <w:sz w:val="28"/>
                <w:szCs w:val="28"/>
              </w:rPr>
              <w:t xml:space="preserve"> 100</w:t>
            </w:r>
          </w:p>
        </w:tc>
      </w:tr>
      <w:tr w:rsidR="00F408D5" w:rsidRPr="006545AD" w14:paraId="5F596946" w14:textId="77777777" w:rsidTr="005725BC">
        <w:trPr>
          <w:trHeight w:val="649"/>
          <w:jc w:val="center"/>
        </w:trPr>
        <w:tc>
          <w:tcPr>
            <w:tcW w:w="1416" w:type="pct"/>
            <w:vMerge/>
            <w:tcBorders>
              <w:bottom w:val="nil"/>
              <w:right w:val="nil"/>
            </w:tcBorders>
            <w:shd w:val="clear" w:color="auto" w:fill="auto"/>
            <w:tcMar>
              <w:top w:w="100" w:type="dxa"/>
              <w:left w:w="100" w:type="dxa"/>
              <w:bottom w:w="100" w:type="dxa"/>
              <w:right w:w="100" w:type="dxa"/>
            </w:tcMar>
            <w:vAlign w:val="center"/>
          </w:tcPr>
          <w:p w14:paraId="5EB57A18"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c>
          <w:tcPr>
            <w:tcW w:w="363" w:type="pct"/>
            <w:vMerge/>
            <w:tcBorders>
              <w:bottom w:val="nil"/>
              <w:right w:val="nil"/>
            </w:tcBorders>
            <w:shd w:val="clear" w:color="auto" w:fill="auto"/>
            <w:tcMar>
              <w:top w:w="100" w:type="dxa"/>
              <w:left w:w="100" w:type="dxa"/>
              <w:bottom w:w="100" w:type="dxa"/>
              <w:right w:w="100" w:type="dxa"/>
            </w:tcMar>
            <w:vAlign w:val="center"/>
          </w:tcPr>
          <w:p w14:paraId="7319C3F5"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c>
          <w:tcPr>
            <w:tcW w:w="2752" w:type="pct"/>
            <w:tcBorders>
              <w:top w:val="nil"/>
              <w:left w:val="nil"/>
              <w:bottom w:val="nil"/>
              <w:right w:val="nil"/>
            </w:tcBorders>
            <w:shd w:val="clear" w:color="auto" w:fill="auto"/>
            <w:tcMar>
              <w:top w:w="100" w:type="dxa"/>
              <w:left w:w="100" w:type="dxa"/>
              <w:bottom w:w="100" w:type="dxa"/>
              <w:right w:w="100" w:type="dxa"/>
            </w:tcMar>
            <w:vAlign w:val="center"/>
          </w:tcPr>
          <w:p w14:paraId="3E7F74A8"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Số trẻ em dưới 05 tuổi được cân</w:t>
            </w:r>
          </w:p>
          <w:p w14:paraId="3AAB252D" w14:textId="77777777" w:rsidR="00F408D5" w:rsidRPr="006545AD" w:rsidRDefault="006E7C70" w:rsidP="005725BC">
            <w:pPr>
              <w:spacing w:before="60" w:after="60" w:line="240" w:lineRule="auto"/>
              <w:jc w:val="center"/>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và đo chiều cao</w:t>
            </w:r>
          </w:p>
        </w:tc>
        <w:tc>
          <w:tcPr>
            <w:tcW w:w="468" w:type="pct"/>
            <w:vMerge/>
            <w:tcBorders>
              <w:bottom w:val="nil"/>
              <w:right w:val="nil"/>
            </w:tcBorders>
            <w:shd w:val="clear" w:color="auto" w:fill="auto"/>
            <w:tcMar>
              <w:top w:w="100" w:type="dxa"/>
              <w:left w:w="100" w:type="dxa"/>
              <w:bottom w:w="100" w:type="dxa"/>
              <w:right w:w="100" w:type="dxa"/>
            </w:tcMar>
            <w:vAlign w:val="center"/>
          </w:tcPr>
          <w:p w14:paraId="52BE0883" w14:textId="77777777" w:rsidR="00F408D5" w:rsidRPr="006545AD" w:rsidRDefault="00F408D5" w:rsidP="005725BC">
            <w:pPr>
              <w:spacing w:before="60" w:after="60" w:line="240" w:lineRule="auto"/>
              <w:jc w:val="both"/>
              <w:rPr>
                <w:rFonts w:ascii="Times New Roman" w:eastAsia="Times New Roman" w:hAnsi="Times New Roman" w:cs="Times New Roman"/>
                <w:sz w:val="28"/>
                <w:szCs w:val="28"/>
              </w:rPr>
            </w:pPr>
          </w:p>
        </w:tc>
      </w:tr>
    </w:tbl>
    <w:p w14:paraId="04287A8D" w14:textId="77777777" w:rsidR="00F408D5" w:rsidRPr="006545AD" w:rsidRDefault="006E7C70" w:rsidP="005725BC">
      <w:pPr>
        <w:spacing w:before="60" w:after="60" w:line="34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2. Phân tổ chủ yếu</w:t>
      </w:r>
    </w:p>
    <w:p w14:paraId="1FF217B7"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Loại suy dinh dưỡng;</w:t>
      </w:r>
    </w:p>
    <w:p w14:paraId="25848C91"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Mức độ suy dinh dưỡng;</w:t>
      </w:r>
    </w:p>
    <w:p w14:paraId="69115C48"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Giới tính;</w:t>
      </w:r>
    </w:p>
    <w:p w14:paraId="5A0E2C8B"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Dân tộc (Kinh/khác);</w:t>
      </w:r>
    </w:p>
    <w:p w14:paraId="6CCFAA08"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Nhóm tháng tuổi;</w:t>
      </w:r>
    </w:p>
    <w:p w14:paraId="75BAF76E"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Thành thị/nông thôn;</w:t>
      </w:r>
    </w:p>
    <w:p w14:paraId="20B320FD"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Tỉnh, thành phố trực thuộc Trung ương;</w:t>
      </w:r>
    </w:p>
    <w:p w14:paraId="13053E4A"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Vùng kinh tế - xã hội.</w:t>
      </w:r>
    </w:p>
    <w:p w14:paraId="4B334F16"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b/>
          <w:sz w:val="28"/>
          <w:szCs w:val="28"/>
        </w:rPr>
        <w:t xml:space="preserve">3. Kỳ công bố: </w:t>
      </w:r>
      <w:r w:rsidRPr="006545AD">
        <w:rPr>
          <w:rFonts w:ascii="Times New Roman" w:eastAsia="Times New Roman" w:hAnsi="Times New Roman" w:cs="Times New Roman"/>
          <w:sz w:val="28"/>
          <w:szCs w:val="28"/>
        </w:rPr>
        <w:t>Năm</w:t>
      </w:r>
      <w:r w:rsidR="00C6080E" w:rsidRPr="006545AD">
        <w:rPr>
          <w:rFonts w:ascii="Times New Roman" w:eastAsia="Times New Roman" w:hAnsi="Times New Roman" w:cs="Times New Roman"/>
          <w:sz w:val="28"/>
          <w:szCs w:val="28"/>
        </w:rPr>
        <w:t>.</w:t>
      </w:r>
    </w:p>
    <w:p w14:paraId="0A6DCD4C" w14:textId="77777777" w:rsidR="00F408D5" w:rsidRPr="006545AD" w:rsidRDefault="006E7C70" w:rsidP="005725BC">
      <w:pPr>
        <w:spacing w:before="60" w:after="60" w:line="32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4. Nguồn số liệu:</w:t>
      </w:r>
    </w:p>
    <w:p w14:paraId="316988F8" w14:textId="77777777" w:rsidR="00F408D5" w:rsidRPr="006545AD" w:rsidRDefault="006E7C70" w:rsidP="005725BC">
      <w:pPr>
        <w:spacing w:before="60" w:after="60" w:line="32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Điều tra dinh dưỡng;</w:t>
      </w:r>
    </w:p>
    <w:p w14:paraId="38B859F3" w14:textId="77777777" w:rsidR="00F408D5" w:rsidRPr="006545AD" w:rsidRDefault="006E7C70" w:rsidP="005725BC">
      <w:pPr>
        <w:spacing w:before="60" w:after="60" w:line="340" w:lineRule="exact"/>
        <w:ind w:firstLine="720"/>
        <w:jc w:val="both"/>
        <w:rPr>
          <w:rFonts w:ascii="Times New Roman" w:eastAsia="Times New Roman" w:hAnsi="Times New Roman" w:cs="Times New Roman"/>
          <w:sz w:val="28"/>
          <w:szCs w:val="28"/>
        </w:rPr>
      </w:pPr>
      <w:r w:rsidRPr="006545AD">
        <w:rPr>
          <w:rFonts w:ascii="Times New Roman" w:eastAsia="Times New Roman" w:hAnsi="Times New Roman" w:cs="Times New Roman"/>
          <w:sz w:val="28"/>
          <w:szCs w:val="28"/>
        </w:rPr>
        <w:t>- Chế độ báo cáo thống kê cấp quốc gia.</w:t>
      </w:r>
    </w:p>
    <w:p w14:paraId="294D0F69" w14:textId="7DD3DC9A" w:rsidR="009C0261" w:rsidRPr="006545AD" w:rsidRDefault="006E7C70" w:rsidP="005725BC">
      <w:pPr>
        <w:spacing w:before="60" w:after="60" w:line="320" w:lineRule="exact"/>
        <w:ind w:firstLine="720"/>
        <w:jc w:val="both"/>
        <w:rPr>
          <w:rFonts w:ascii="Times New Roman" w:eastAsia="Times New Roman" w:hAnsi="Times New Roman" w:cs="Times New Roman"/>
          <w:b/>
          <w:sz w:val="28"/>
          <w:szCs w:val="28"/>
        </w:rPr>
      </w:pPr>
      <w:r w:rsidRPr="006545AD">
        <w:rPr>
          <w:rFonts w:ascii="Times New Roman" w:eastAsia="Times New Roman" w:hAnsi="Times New Roman" w:cs="Times New Roman"/>
          <w:b/>
          <w:sz w:val="28"/>
          <w:szCs w:val="28"/>
        </w:rPr>
        <w:t xml:space="preserve">5. Cơ quan chịu trách nhiệm thu thập, tổng hợp: </w:t>
      </w:r>
      <w:r w:rsidRPr="006545AD">
        <w:rPr>
          <w:rFonts w:ascii="Times New Roman" w:eastAsia="Times New Roman" w:hAnsi="Times New Roman" w:cs="Times New Roman"/>
          <w:sz w:val="28"/>
          <w:szCs w:val="28"/>
        </w:rPr>
        <w:t>Bộ Y tế</w:t>
      </w:r>
      <w:r w:rsidR="00E9456D" w:rsidRPr="006545AD">
        <w:rPr>
          <w:rFonts w:ascii="Times New Roman" w:eastAsia="Times New Roman" w:hAnsi="Times New Roman" w:cs="Times New Roman"/>
          <w:sz w:val="28"/>
          <w:szCs w:val="28"/>
        </w:rPr>
        <w:t>.</w:t>
      </w:r>
    </w:p>
    <w:p w14:paraId="4A7FAD03" w14:textId="5B065AC0" w:rsidR="00FB7BBB" w:rsidRPr="006545AD" w:rsidRDefault="00B17E12" w:rsidP="005725BC">
      <w:pPr>
        <w:spacing w:before="120" w:after="60" w:line="320" w:lineRule="exact"/>
        <w:jc w:val="both"/>
        <w:rPr>
          <w:rFonts w:ascii="Times New Roman" w:eastAsia="Times New Roman" w:hAnsi="Times New Roman" w:cs="Times New Roman"/>
          <w:b/>
          <w:sz w:val="28"/>
          <w:szCs w:val="28"/>
          <w:lang w:val="en-US"/>
        </w:rPr>
      </w:pPr>
      <w:r w:rsidRPr="006545AD">
        <w:rPr>
          <w:rFonts w:ascii="Times New Roman" w:eastAsia="Times New Roman" w:hAnsi="Times New Roman" w:cs="Times New Roman"/>
          <w:b/>
          <w:sz w:val="28"/>
          <w:szCs w:val="28"/>
          <w:lang w:val="en-US"/>
        </w:rPr>
        <w:tab/>
      </w:r>
      <w:r w:rsidR="00FB7BBB" w:rsidRPr="006545AD">
        <w:rPr>
          <w:rFonts w:ascii="Times New Roman" w:eastAsia="Times New Roman" w:hAnsi="Times New Roman" w:cs="Times New Roman"/>
          <w:b/>
          <w:sz w:val="28"/>
          <w:szCs w:val="28"/>
          <w:lang w:val="en-US"/>
        </w:rPr>
        <w:t>4.1</w:t>
      </w:r>
      <w:r w:rsidR="009A51F4" w:rsidRPr="006545AD">
        <w:rPr>
          <w:rFonts w:ascii="Times New Roman" w:eastAsia="Times New Roman" w:hAnsi="Times New Roman" w:cs="Times New Roman"/>
          <w:b/>
          <w:sz w:val="28"/>
          <w:szCs w:val="28"/>
          <w:lang w:val="en-US"/>
        </w:rPr>
        <w:t>9</w:t>
      </w:r>
      <w:r w:rsidR="00FB7BBB" w:rsidRPr="006545AD">
        <w:rPr>
          <w:rFonts w:ascii="Times New Roman" w:eastAsia="Times New Roman" w:hAnsi="Times New Roman" w:cs="Times New Roman"/>
          <w:b/>
          <w:sz w:val="28"/>
          <w:szCs w:val="28"/>
          <w:lang w:val="en-US"/>
        </w:rPr>
        <w:t>.</w:t>
      </w:r>
      <w:r w:rsidR="00FB7BBB" w:rsidRPr="006545AD">
        <w:rPr>
          <w:rFonts w:ascii="Times New Roman" w:eastAsia="Times New Roman" w:hAnsi="Times New Roman" w:cs="Times New Roman"/>
          <w:sz w:val="28"/>
          <w:szCs w:val="28"/>
          <w:lang w:val="en-US"/>
        </w:rPr>
        <w:t xml:space="preserve"> </w:t>
      </w:r>
      <w:r w:rsidR="00FB7BBB" w:rsidRPr="006545AD">
        <w:rPr>
          <w:rFonts w:ascii="Times New Roman" w:eastAsia="Times New Roman" w:hAnsi="Times New Roman" w:cs="Times New Roman"/>
          <w:b/>
          <w:sz w:val="28"/>
          <w:szCs w:val="28"/>
          <w:lang w:val="en-US"/>
        </w:rPr>
        <w:t>Chỉ số tăng trưởng xanh</w:t>
      </w:r>
      <w:r w:rsidR="00D90FFE" w:rsidRPr="006545AD">
        <w:rPr>
          <w:rFonts w:ascii="Times New Roman" w:eastAsia="Times New Roman" w:hAnsi="Times New Roman" w:cs="Times New Roman"/>
          <w:b/>
          <w:sz w:val="28"/>
          <w:szCs w:val="28"/>
          <w:lang w:val="en-US"/>
        </w:rPr>
        <w:t xml:space="preserve"> tổng hợp</w:t>
      </w:r>
    </w:p>
    <w:p w14:paraId="1F1D3930" w14:textId="77777777" w:rsidR="00FB7BBB" w:rsidRPr="006545AD" w:rsidRDefault="00FB7BBB" w:rsidP="005725BC">
      <w:pPr>
        <w:spacing w:before="60" w:after="60" w:line="320" w:lineRule="exact"/>
        <w:ind w:firstLine="709"/>
        <w:jc w:val="both"/>
        <w:rPr>
          <w:rFonts w:ascii="Times New Roman" w:eastAsia="Times New Roman" w:hAnsi="Times New Roman" w:cs="Times New Roman"/>
          <w:b/>
          <w:iCs/>
          <w:sz w:val="28"/>
          <w:szCs w:val="28"/>
          <w:lang w:val="vi-VN"/>
        </w:rPr>
      </w:pPr>
      <w:r w:rsidRPr="006545AD">
        <w:rPr>
          <w:rFonts w:ascii="Times New Roman" w:eastAsia="Times New Roman" w:hAnsi="Times New Roman" w:cs="Times New Roman"/>
          <w:b/>
          <w:sz w:val="28"/>
          <w:szCs w:val="28"/>
          <w:lang w:val="pt-BR"/>
        </w:rPr>
        <w:t>1. Khái niệm, phương pháp tính</w:t>
      </w:r>
    </w:p>
    <w:p w14:paraId="3F27ABE5" w14:textId="77777777" w:rsidR="00FB7BBB" w:rsidRPr="006545AD" w:rsidRDefault="00FB7BBB" w:rsidP="005725BC">
      <w:pPr>
        <w:spacing w:before="60" w:after="60" w:line="32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xml:space="preserve">Tăng trưởng xanh là một trong số các hiện tượng kinh tế - xã hội không thể được đo lường bằng một chỉ tiêu mô tả duy nhất mà thay vào đó, phải được thể hiện bằng nhiều chiều, và nhiều chỉ tiêu. </w:t>
      </w:r>
    </w:p>
    <w:p w14:paraId="6FFA58A4" w14:textId="259AE608" w:rsidR="00FB7BBB" w:rsidRPr="006545AD" w:rsidRDefault="00FB7BBB" w:rsidP="005725BC">
      <w:pPr>
        <w:spacing w:before="60" w:after="60" w:line="320" w:lineRule="exact"/>
        <w:jc w:val="both"/>
        <w:rPr>
          <w:rFonts w:ascii="Times New Roman" w:eastAsia="Times New Roman" w:hAnsi="Times New Roman" w:cs="Times New Roman"/>
          <w:sz w:val="28"/>
          <w:szCs w:val="28"/>
          <w:lang w:val="it-IT"/>
        </w:rPr>
      </w:pPr>
      <w:r w:rsidRPr="006545AD">
        <w:rPr>
          <w:rFonts w:ascii="Times New Roman" w:eastAsia="Times New Roman" w:hAnsi="Times New Roman" w:cs="Times New Roman"/>
          <w:sz w:val="28"/>
          <w:szCs w:val="28"/>
          <w:lang w:val="it-IT"/>
        </w:rPr>
        <w:tab/>
        <w:t xml:space="preserve">Các hiện tượng như phát triển, tiến bộ, nghèo đói, bất bình đẳng xã hội, hạnh phúc, chất lượng cuộc sống, cung cấp cơ sở hạ tầng đòi hỏi phải được đo lường bằng </w:t>
      </w:r>
      <w:r w:rsidRPr="006545AD">
        <w:rPr>
          <w:rFonts w:ascii="Times New Roman" w:eastAsia="Times New Roman" w:hAnsi="Times New Roman" w:cs="Times New Roman"/>
          <w:b/>
          <w:i/>
          <w:sz w:val="28"/>
          <w:szCs w:val="28"/>
          <w:lang w:val="it-IT"/>
        </w:rPr>
        <w:t>sự kết hợp</w:t>
      </w:r>
      <w:r w:rsidRPr="006545AD">
        <w:rPr>
          <w:rFonts w:ascii="Times New Roman" w:eastAsia="Times New Roman" w:hAnsi="Times New Roman" w:cs="Times New Roman"/>
          <w:sz w:val="28"/>
          <w:szCs w:val="28"/>
          <w:lang w:val="it-IT"/>
        </w:rPr>
        <w:t xml:space="preserve"> của các chiều khác nhau, được coi là đại diện của hiện tượng. Sự kết hợp này có thể đạt được bằng cách áp dụng tổng hòa các phương pháp được gọi là </w:t>
      </w:r>
      <w:r w:rsidRPr="006545AD">
        <w:rPr>
          <w:rFonts w:ascii="Times New Roman" w:eastAsia="Times New Roman" w:hAnsi="Times New Roman" w:cs="Times New Roman"/>
          <w:b/>
          <w:i/>
          <w:sz w:val="28"/>
          <w:szCs w:val="28"/>
          <w:lang w:val="it-IT"/>
        </w:rPr>
        <w:t>chỉ số tổng hợp</w:t>
      </w:r>
      <w:r w:rsidRPr="006545AD">
        <w:rPr>
          <w:rFonts w:ascii="Times New Roman" w:eastAsia="Times New Roman" w:hAnsi="Times New Roman" w:cs="Times New Roman"/>
          <w:sz w:val="28"/>
          <w:szCs w:val="28"/>
          <w:lang w:val="it-IT"/>
        </w:rPr>
        <w:t>.</w:t>
      </w:r>
    </w:p>
    <w:p w14:paraId="72276D5B" w14:textId="77777777" w:rsidR="00FB7BBB" w:rsidRPr="006545AD" w:rsidRDefault="00FB7BBB" w:rsidP="005725BC">
      <w:pPr>
        <w:spacing w:before="60" w:after="60" w:line="320" w:lineRule="exact"/>
        <w:ind w:firstLine="709"/>
        <w:jc w:val="both"/>
        <w:rPr>
          <w:rFonts w:ascii="Times New Roman" w:eastAsia="Times New Roman" w:hAnsi="Times New Roman" w:cs="Times New Roman"/>
          <w:sz w:val="28"/>
          <w:szCs w:val="28"/>
          <w:lang w:val="it-IT"/>
        </w:rPr>
      </w:pPr>
      <w:r w:rsidRPr="006545AD">
        <w:rPr>
          <w:rFonts w:ascii="Times New Roman" w:eastAsia="Times New Roman" w:hAnsi="Times New Roman" w:cs="Times New Roman"/>
          <w:sz w:val="28"/>
          <w:szCs w:val="28"/>
          <w:lang w:val="it-IT"/>
        </w:rPr>
        <w:t xml:space="preserve">Chỉ số tổng hợp đo lường nội dung mang tính đa chiều mà một chỉ tiêu đơn chiều không thể hiện được. </w:t>
      </w:r>
    </w:p>
    <w:p w14:paraId="05859FAC" w14:textId="1C5B5F89" w:rsidR="00E63C67" w:rsidRPr="006545AD" w:rsidRDefault="00FB7BBB" w:rsidP="005725BC">
      <w:pPr>
        <w:spacing w:before="60" w:after="60" w:line="320" w:lineRule="exact"/>
        <w:ind w:firstLine="709"/>
        <w:jc w:val="both"/>
        <w:rPr>
          <w:rFonts w:ascii="Times New Roman" w:eastAsia="Times New Roman" w:hAnsi="Times New Roman" w:cs="Times New Roman"/>
          <w:sz w:val="28"/>
          <w:szCs w:val="28"/>
          <w:lang w:val="it-IT"/>
        </w:rPr>
      </w:pPr>
      <w:r w:rsidRPr="006545AD">
        <w:rPr>
          <w:rFonts w:ascii="Times New Roman" w:eastAsia="Times New Roman" w:hAnsi="Times New Roman" w:cs="Times New Roman"/>
          <w:sz w:val="28"/>
          <w:szCs w:val="28"/>
          <w:lang w:val="it-IT"/>
        </w:rPr>
        <w:lastRenderedPageBreak/>
        <w:t>Chỉ tiêu đơn chiều được chọn lựa để tính toán chỉ tiêu tổng hợp gọi là chỉ tiêu thành phần.</w:t>
      </w:r>
      <w:r w:rsidR="00E63C67" w:rsidRPr="006545AD">
        <w:rPr>
          <w:rFonts w:ascii="Times New Roman" w:eastAsia="Times New Roman" w:hAnsi="Times New Roman" w:cs="Times New Roman"/>
          <w:sz w:val="28"/>
          <w:szCs w:val="28"/>
          <w:lang w:val="it-IT"/>
        </w:rPr>
        <w:t xml:space="preserve"> </w:t>
      </w:r>
    </w:p>
    <w:p w14:paraId="77A2E53D" w14:textId="77777777" w:rsidR="00FB7BBB" w:rsidRPr="006545AD" w:rsidRDefault="00FB7BBB" w:rsidP="005725BC">
      <w:pPr>
        <w:spacing w:before="60" w:after="60" w:line="32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it-IT"/>
        </w:rPr>
        <w:t xml:space="preserve">Chỉ số tổng hợp tăng trưởng xanh </w:t>
      </w:r>
      <w:r w:rsidRPr="006545AD">
        <w:rPr>
          <w:rFonts w:ascii="Times New Roman" w:eastAsia="Times New Roman" w:hAnsi="Times New Roman" w:cs="Times New Roman"/>
          <w:sz w:val="28"/>
          <w:szCs w:val="28"/>
          <w:lang w:val="en-US"/>
        </w:rPr>
        <w:t>là thước đo tổng hợp phản ánh sự phát triển xanh, bền vững, bao trùm của các lĩnh vực, đời sống kinh tế - xã hội /trên các phương diện phù hợp với các mục tiêu cụ thể của Chiến lược quốc gia về tăng trưởng xanh.</w:t>
      </w:r>
    </w:p>
    <w:p w14:paraId="3F414E05" w14:textId="77777777" w:rsidR="00FB7BBB" w:rsidRPr="006545AD" w:rsidRDefault="00FB7BBB" w:rsidP="005725BC">
      <w:pPr>
        <w:spacing w:before="60" w:after="60" w:line="32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 xml:space="preserve">Chỉ số tổng hợp tăng trưởng xanh được xây dựng dựa trên khung lý thuyết 10 bước do OECD khuyến nghị. </w:t>
      </w:r>
    </w:p>
    <w:p w14:paraId="475AEF35" w14:textId="77777777" w:rsidR="00FB7BBB" w:rsidRPr="006545AD" w:rsidRDefault="00FB7BBB" w:rsidP="005725BC">
      <w:pPr>
        <w:spacing w:before="60" w:after="60" w:line="32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Chỉ tiêu tổng hợp bao gồm 4 chiều, đại diện cho các khía cạnh của hiện tượng nghiên cứu (tương ứng với 4 mục tiêu cụ thể của Chiến lược quốc gia về tăng trưởng xanh) và các chỉ tiêu thành phần được lựa chọn trong bộ chỉ tiêu, kết hợp với các chỉ tiêu có liên quan khác đã được công bố chính thức.</w:t>
      </w:r>
    </w:p>
    <w:p w14:paraId="0697927C" w14:textId="77777777" w:rsidR="00D90FFE" w:rsidRPr="006545AD" w:rsidRDefault="00D90FFE" w:rsidP="00FB7BBB">
      <w:pPr>
        <w:spacing w:before="60" w:after="60" w:line="360" w:lineRule="exact"/>
        <w:ind w:firstLine="709"/>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Công thức tính:</w:t>
      </w:r>
    </w:p>
    <w:p w14:paraId="0E5B61D8" w14:textId="00790AE2" w:rsidR="0095064E" w:rsidRPr="006545AD" w:rsidRDefault="00486F79" w:rsidP="009B7606">
      <w:pPr>
        <w:spacing w:before="60" w:after="60" w:line="240" w:lineRule="auto"/>
        <w:jc w:val="center"/>
        <w:rPr>
          <w:rFonts w:ascii="Times New Roman" w:eastAsia="Times New Roman" w:hAnsi="Times New Roman" w:cs="Times New Roman"/>
          <w:sz w:val="28"/>
          <w:szCs w:val="28"/>
          <w:lang w:val="en-US"/>
        </w:rPr>
      </w:pPr>
      <w:bookmarkStart w:id="2" w:name="_Hlk91538707"/>
      <m:oMath>
        <m:r>
          <w:rPr>
            <w:rFonts w:ascii="Cambria Math" w:eastAsia="Times New Roman" w:hAnsi="Cambria Math" w:cs="Times New Roman"/>
            <w:sz w:val="24"/>
            <w:szCs w:val="28"/>
            <w:lang w:val="en-US"/>
          </w:rPr>
          <m:t>GI=</m:t>
        </m:r>
        <m:rad>
          <m:radPr>
            <m:ctrlPr>
              <w:rPr>
                <w:rFonts w:ascii="Cambria Math" w:eastAsia="Times New Roman" w:hAnsi="Cambria Math" w:cs="Times New Roman"/>
                <w:i/>
                <w:sz w:val="24"/>
                <w:szCs w:val="28"/>
                <w:lang w:val="en-US"/>
              </w:rPr>
            </m:ctrlPr>
          </m:radPr>
          <m:deg>
            <m:r>
              <w:rPr>
                <w:rFonts w:ascii="Cambria Math" w:eastAsia="Times New Roman" w:hAnsi="Cambria Math" w:cs="Times New Roman"/>
                <w:sz w:val="24"/>
                <w:szCs w:val="28"/>
                <w:lang w:val="en-US"/>
              </w:rPr>
              <m:t>4</m:t>
            </m:r>
          </m:deg>
          <m:e>
            <m:nary>
              <m:naryPr>
                <m:chr m:val="∏"/>
                <m:limLoc m:val="undOvr"/>
                <m:ctrlPr>
                  <w:rPr>
                    <w:rFonts w:ascii="Cambria Math" w:eastAsia="Times New Roman" w:hAnsi="Cambria Math" w:cs="Times New Roman"/>
                    <w:i/>
                    <w:sz w:val="24"/>
                    <w:szCs w:val="28"/>
                    <w:lang w:val="en-US"/>
                  </w:rPr>
                </m:ctrlPr>
              </m:naryPr>
              <m:sub>
                <m:r>
                  <w:rPr>
                    <w:rFonts w:ascii="Cambria Math" w:eastAsia="Times New Roman" w:hAnsi="Cambria Math" w:cs="Times New Roman"/>
                    <w:sz w:val="24"/>
                    <w:szCs w:val="28"/>
                    <w:lang w:val="en-US"/>
                  </w:rPr>
                  <m:t>1</m:t>
                </m:r>
              </m:sub>
              <m:sup>
                <m:r>
                  <w:rPr>
                    <w:rFonts w:ascii="Cambria Math" w:eastAsia="Times New Roman" w:hAnsi="Cambria Math" w:cs="Times New Roman"/>
                    <w:sz w:val="24"/>
                    <w:szCs w:val="28"/>
                    <w:lang w:val="en-US"/>
                  </w:rPr>
                  <m:t>4</m:t>
                </m:r>
              </m:sup>
              <m:e>
                <m:f>
                  <m:fPr>
                    <m:ctrlPr>
                      <w:rPr>
                        <w:rFonts w:ascii="Cambria Math" w:eastAsia="Times New Roman" w:hAnsi="Cambria Math" w:cs="Times New Roman"/>
                        <w:i/>
                        <w:sz w:val="24"/>
                        <w:szCs w:val="28"/>
                        <w:lang w:val="en-US"/>
                      </w:rPr>
                    </m:ctrlPr>
                  </m:fPr>
                  <m:num>
                    <m:nary>
                      <m:naryPr>
                        <m:chr m:val="∑"/>
                        <m:limLoc m:val="undOvr"/>
                        <m:ctrlPr>
                          <w:rPr>
                            <w:rFonts w:ascii="Cambria Math" w:eastAsia="Times New Roman" w:hAnsi="Cambria Math" w:cs="Times New Roman"/>
                            <w:i/>
                            <w:sz w:val="24"/>
                            <w:szCs w:val="28"/>
                            <w:lang w:val="en-US"/>
                          </w:rPr>
                        </m:ctrlPr>
                      </m:naryPr>
                      <m:sub>
                        <m:r>
                          <w:rPr>
                            <w:rFonts w:ascii="Cambria Math" w:eastAsia="Times New Roman" w:hAnsi="Cambria Math" w:cs="Times New Roman"/>
                            <w:sz w:val="24"/>
                            <w:szCs w:val="28"/>
                            <w:lang w:val="en-US"/>
                          </w:rPr>
                          <m:t>1</m:t>
                        </m:r>
                      </m:sub>
                      <m:sup>
                        <m:sSub>
                          <m:sSubPr>
                            <m:ctrlPr>
                              <w:rPr>
                                <w:rFonts w:ascii="Cambria Math" w:eastAsia="Times New Roman" w:hAnsi="Cambria Math" w:cs="Times New Roman"/>
                                <w:i/>
                                <w:sz w:val="24"/>
                                <w:szCs w:val="28"/>
                                <w:lang w:val="en-US"/>
                              </w:rPr>
                            </m:ctrlPr>
                          </m:sSubPr>
                          <m:e>
                            <m:r>
                              <w:rPr>
                                <w:rFonts w:ascii="Cambria Math" w:eastAsia="Times New Roman" w:hAnsi="Cambria Math" w:cs="Times New Roman"/>
                                <w:sz w:val="24"/>
                                <w:szCs w:val="28"/>
                                <w:lang w:val="en-US"/>
                              </w:rPr>
                              <m:t>n</m:t>
                            </m:r>
                          </m:e>
                          <m:sub>
                            <m:r>
                              <w:rPr>
                                <w:rFonts w:ascii="Cambria Math" w:eastAsia="Times New Roman" w:hAnsi="Cambria Math" w:cs="Times New Roman"/>
                                <w:sz w:val="24"/>
                                <w:szCs w:val="28"/>
                                <w:lang w:val="en-US"/>
                              </w:rPr>
                              <m:t>j</m:t>
                            </m:r>
                          </m:sub>
                        </m:sSub>
                      </m:sup>
                      <m:e>
                        <m:sSub>
                          <m:sSubPr>
                            <m:ctrlPr>
                              <w:rPr>
                                <w:rFonts w:ascii="Cambria Math" w:eastAsia="Times New Roman" w:hAnsi="Cambria Math" w:cs="Times New Roman"/>
                                <w:i/>
                                <w:sz w:val="24"/>
                                <w:szCs w:val="28"/>
                                <w:lang w:val="en-US"/>
                              </w:rPr>
                            </m:ctrlPr>
                          </m:sSubPr>
                          <m:e>
                            <m:r>
                              <w:rPr>
                                <w:rFonts w:ascii="Cambria Math" w:eastAsia="Times New Roman" w:hAnsi="Cambria Math" w:cs="Times New Roman"/>
                                <w:sz w:val="24"/>
                                <w:szCs w:val="28"/>
                                <w:lang w:val="en-US"/>
                              </w:rPr>
                              <m:t>X</m:t>
                            </m:r>
                          </m:e>
                          <m:sub>
                            <m:r>
                              <w:rPr>
                                <w:rFonts w:ascii="Cambria Math" w:eastAsia="Times New Roman" w:hAnsi="Cambria Math" w:cs="Times New Roman"/>
                                <w:sz w:val="24"/>
                                <w:szCs w:val="28"/>
                                <w:lang w:val="en-US"/>
                              </w:rPr>
                              <m:t>ij</m:t>
                            </m:r>
                          </m:sub>
                        </m:sSub>
                      </m:e>
                    </m:nary>
                  </m:num>
                  <m:den>
                    <m:sSub>
                      <m:sSubPr>
                        <m:ctrlPr>
                          <w:rPr>
                            <w:rFonts w:ascii="Cambria Math" w:eastAsia="Times New Roman" w:hAnsi="Cambria Math" w:cs="Times New Roman"/>
                            <w:i/>
                            <w:sz w:val="24"/>
                            <w:szCs w:val="28"/>
                            <w:lang w:val="en-US"/>
                          </w:rPr>
                        </m:ctrlPr>
                      </m:sSubPr>
                      <m:e>
                        <m:r>
                          <w:rPr>
                            <w:rFonts w:ascii="Cambria Math" w:eastAsia="Times New Roman" w:hAnsi="Cambria Math" w:cs="Times New Roman"/>
                            <w:sz w:val="24"/>
                            <w:szCs w:val="28"/>
                            <w:lang w:val="en-US"/>
                          </w:rPr>
                          <m:t>n</m:t>
                        </m:r>
                      </m:e>
                      <m:sub>
                        <m:r>
                          <w:rPr>
                            <w:rFonts w:ascii="Cambria Math" w:eastAsia="Times New Roman" w:hAnsi="Cambria Math" w:cs="Times New Roman"/>
                            <w:sz w:val="24"/>
                            <w:szCs w:val="28"/>
                            <w:lang w:val="en-US"/>
                          </w:rPr>
                          <m:t>j</m:t>
                        </m:r>
                      </m:sub>
                    </m:sSub>
                  </m:den>
                </m:f>
              </m:e>
            </m:nary>
          </m:e>
        </m:rad>
      </m:oMath>
      <w:bookmarkEnd w:id="2"/>
      <w:r w:rsidR="00E63C67" w:rsidRPr="006545AD">
        <w:rPr>
          <w:rFonts w:ascii="Times New Roman" w:eastAsia="Times New Roman" w:hAnsi="Times New Roman" w:cs="Times New Roman"/>
          <w:sz w:val="28"/>
          <w:szCs w:val="28"/>
          <w:lang w:val="en-US"/>
        </w:rPr>
        <w:t xml:space="preserve"> </w:t>
      </w:r>
    </w:p>
    <w:p w14:paraId="62C54281" w14:textId="3EA33454" w:rsidR="00FB7BBB" w:rsidRPr="006545AD" w:rsidRDefault="0095064E" w:rsidP="009B7606">
      <w:pPr>
        <w:spacing w:before="60" w:after="60" w:line="240" w:lineRule="auto"/>
        <w:jc w:val="both"/>
        <w:rPr>
          <w:rFonts w:ascii="Times New Roman" w:eastAsia="Times New Roman" w:hAnsi="Times New Roman" w:cs="Times New Roman"/>
          <w:sz w:val="28"/>
          <w:szCs w:val="28"/>
          <w:lang w:val="en-US"/>
        </w:rPr>
      </w:pPr>
      <w:r w:rsidRPr="006545AD">
        <w:rPr>
          <w:rFonts w:ascii="Times New Roman" w:eastAsia="Times New Roman" w:hAnsi="Times New Roman" w:cs="Times New Roman"/>
          <w:sz w:val="28"/>
          <w:szCs w:val="28"/>
          <w:lang w:val="en-US"/>
        </w:rPr>
        <w:tab/>
      </w:r>
      <w:r w:rsidR="00FB7BBB" w:rsidRPr="006545AD">
        <w:rPr>
          <w:rFonts w:ascii="Times New Roman" w:eastAsia="Times New Roman" w:hAnsi="Times New Roman" w:cs="Times New Roman"/>
          <w:sz w:val="28"/>
          <w:szCs w:val="28"/>
          <w:lang w:val="en-US"/>
        </w:rPr>
        <w:t>Trong</w:t>
      </w:r>
      <w:r w:rsidRPr="006545AD">
        <w:rPr>
          <w:rFonts w:ascii="Times New Roman" w:eastAsia="Times New Roman" w:hAnsi="Times New Roman" w:cs="Times New Roman"/>
          <w:sz w:val="28"/>
          <w:szCs w:val="28"/>
          <w:lang w:val="en-US"/>
        </w:rPr>
        <w:t xml:space="preserve"> </w:t>
      </w:r>
      <w:r w:rsidR="00FB7BBB" w:rsidRPr="006545AD">
        <w:rPr>
          <w:rFonts w:ascii="Times New Roman" w:eastAsia="Times New Roman" w:hAnsi="Times New Roman" w:cs="Times New Roman"/>
          <w:sz w:val="28"/>
          <w:szCs w:val="28"/>
          <w:lang w:val="en-US"/>
        </w:rPr>
        <w:t>đó:</w:t>
      </w:r>
    </w:p>
    <w:p w14:paraId="4495410E" w14:textId="42778637" w:rsidR="00FB7BBB" w:rsidRPr="006545AD" w:rsidRDefault="00EF5502" w:rsidP="00FB7BBB">
      <w:pPr>
        <w:spacing w:before="60" w:after="60" w:line="360" w:lineRule="exact"/>
        <w:ind w:firstLine="709"/>
        <w:jc w:val="both"/>
        <w:rPr>
          <w:rFonts w:ascii="Times New Roman" w:eastAsia="Times New Roman" w:hAnsi="Times New Roman" w:cs="Times New Roman"/>
          <w:sz w:val="28"/>
          <w:szCs w:val="28"/>
          <w:lang w:val="nl-NL"/>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ij</m:t>
            </m:r>
          </m:sub>
        </m:sSub>
      </m:oMath>
      <w:r w:rsidR="00FB7BBB" w:rsidRPr="006545AD">
        <w:rPr>
          <w:rFonts w:ascii="Times New Roman" w:eastAsia="Times New Roman" w:hAnsi="Times New Roman" w:cs="Times New Roman"/>
          <w:sz w:val="28"/>
          <w:szCs w:val="28"/>
          <w:lang w:val="nl-NL"/>
        </w:rPr>
        <w:t xml:space="preserve">: điểm chuẩn hóa chỉ tiêu i trong chiều j. Tùy thuộc mối quan hệ của chỉ tiêu với </w:t>
      </w:r>
      <w:r w:rsidR="009C7970" w:rsidRPr="006545AD">
        <w:rPr>
          <w:rFonts w:ascii="Times New Roman" w:eastAsia="Times New Roman" w:hAnsi="Times New Roman" w:cs="Times New Roman"/>
          <w:sz w:val="28"/>
          <w:szCs w:val="28"/>
          <w:lang w:val="nl-NL"/>
        </w:rPr>
        <w:t>tăng trưởng xanh</w:t>
      </w:r>
      <w:r w:rsidR="00FB7BBB" w:rsidRPr="006545AD">
        <w:rPr>
          <w:rFonts w:ascii="Times New Roman" w:eastAsia="Times New Roman" w:hAnsi="Times New Roman" w:cs="Times New Roman"/>
          <w:sz w:val="28"/>
          <w:szCs w:val="28"/>
          <w:lang w:val="nl-NL"/>
        </w:rPr>
        <w:t>, thứ tự giá trị lớn nhất, nhỏ nhất so với mục tiêu đề ra</w:t>
      </w:r>
    </w:p>
    <w:p w14:paraId="2CED8908" w14:textId="77777777" w:rsidR="00FB7BBB" w:rsidRPr="006545AD" w:rsidRDefault="00FB7BBB" w:rsidP="005725BC">
      <w:pPr>
        <w:spacing w:before="60" w:after="60" w:line="240" w:lineRule="auto"/>
        <w:ind w:firstLine="709"/>
        <w:jc w:val="both"/>
        <w:rPr>
          <w:rFonts w:ascii="Times New Roman" w:eastAsia="Times New Roman" w:hAnsi="Times New Roman" w:cs="Times New Roman"/>
          <w:b/>
          <w:sz w:val="28"/>
          <w:szCs w:val="28"/>
          <w:lang w:val="de-DE"/>
        </w:rPr>
      </w:pPr>
      <w:r w:rsidRPr="006545AD">
        <w:rPr>
          <w:rFonts w:ascii="Times New Roman" w:eastAsia="Times New Roman" w:hAnsi="Times New Roman" w:cs="Times New Roman"/>
          <w:b/>
          <w:sz w:val="28"/>
          <w:szCs w:val="28"/>
          <w:lang w:val="de-DE"/>
        </w:rPr>
        <w:t>2. Phân tổ chủ yếu</w:t>
      </w:r>
    </w:p>
    <w:p w14:paraId="2FAED4AB" w14:textId="77777777" w:rsidR="00FB7BBB" w:rsidRPr="006545AD" w:rsidRDefault="00FB7BBB" w:rsidP="005725BC">
      <w:pPr>
        <w:spacing w:before="60" w:after="60" w:line="240" w:lineRule="auto"/>
        <w:ind w:firstLine="709"/>
        <w:jc w:val="both"/>
        <w:rPr>
          <w:rFonts w:ascii="Times New Roman" w:eastAsia="Times New Roman" w:hAnsi="Times New Roman" w:cs="Times New Roman"/>
          <w:bCs/>
          <w:sz w:val="28"/>
          <w:szCs w:val="28"/>
          <w:lang w:val="de-DE"/>
        </w:rPr>
      </w:pPr>
      <w:r w:rsidRPr="006545AD">
        <w:rPr>
          <w:rFonts w:ascii="Times New Roman" w:eastAsia="Times New Roman" w:hAnsi="Times New Roman" w:cs="Times New Roman"/>
          <w:bCs/>
          <w:sz w:val="28"/>
          <w:szCs w:val="28"/>
          <w:lang w:val="de-DE"/>
        </w:rPr>
        <w:t>- Cả nước;</w:t>
      </w:r>
    </w:p>
    <w:p w14:paraId="41898186" w14:textId="7E64C67E" w:rsidR="0053428A" w:rsidRPr="006545AD" w:rsidRDefault="00FB7BBB" w:rsidP="005725BC">
      <w:pPr>
        <w:spacing w:before="60" w:after="60" w:line="240" w:lineRule="auto"/>
        <w:ind w:firstLine="709"/>
        <w:jc w:val="both"/>
        <w:rPr>
          <w:rFonts w:ascii="Times New Roman" w:eastAsia="Times New Roman" w:hAnsi="Times New Roman" w:cs="Times New Roman"/>
          <w:b/>
          <w:sz w:val="28"/>
          <w:szCs w:val="28"/>
          <w:lang w:val="vi-VN"/>
        </w:rPr>
      </w:pPr>
      <w:r w:rsidRPr="006545AD">
        <w:rPr>
          <w:rFonts w:ascii="Times New Roman" w:eastAsia="Times New Roman" w:hAnsi="Times New Roman" w:cs="Times New Roman"/>
          <w:bCs/>
          <w:sz w:val="28"/>
          <w:szCs w:val="28"/>
          <w:lang w:val="de-DE"/>
        </w:rPr>
        <w:t xml:space="preserve">- Tỉnh, thành phố trực thuộc </w:t>
      </w:r>
      <w:r w:rsidR="00E9456D" w:rsidRPr="006545AD">
        <w:rPr>
          <w:rFonts w:ascii="Times New Roman" w:eastAsia="Times New Roman" w:hAnsi="Times New Roman" w:cs="Times New Roman"/>
          <w:sz w:val="28"/>
          <w:szCs w:val="28"/>
        </w:rPr>
        <w:t>Trung ương</w:t>
      </w:r>
      <w:r w:rsidRPr="006545AD">
        <w:rPr>
          <w:rFonts w:ascii="Times New Roman" w:eastAsia="Times New Roman" w:hAnsi="Times New Roman" w:cs="Times New Roman"/>
          <w:bCs/>
          <w:sz w:val="28"/>
          <w:szCs w:val="28"/>
          <w:lang w:val="de-DE"/>
        </w:rPr>
        <w:t>.</w:t>
      </w:r>
      <w:r w:rsidR="0053428A" w:rsidRPr="006545AD">
        <w:rPr>
          <w:rFonts w:ascii="Times New Roman" w:eastAsia="Times New Roman" w:hAnsi="Times New Roman" w:cs="Times New Roman"/>
          <w:b/>
          <w:sz w:val="28"/>
          <w:szCs w:val="28"/>
          <w:lang w:val="vi-VN"/>
        </w:rPr>
        <w:t xml:space="preserve"> </w:t>
      </w:r>
    </w:p>
    <w:p w14:paraId="5C2C6093" w14:textId="04421849" w:rsidR="00FB7BBB" w:rsidRPr="006545AD" w:rsidRDefault="00FB7BBB" w:rsidP="005725BC">
      <w:pPr>
        <w:spacing w:before="60" w:after="60" w:line="240" w:lineRule="auto"/>
        <w:ind w:firstLine="709"/>
        <w:jc w:val="both"/>
        <w:rPr>
          <w:rFonts w:ascii="Times New Roman" w:eastAsia="Times New Roman" w:hAnsi="Times New Roman" w:cs="Times New Roman"/>
          <w:sz w:val="28"/>
          <w:szCs w:val="28"/>
          <w:lang w:val="pt-BR"/>
        </w:rPr>
      </w:pPr>
      <w:r w:rsidRPr="006545AD">
        <w:rPr>
          <w:rFonts w:ascii="Times New Roman" w:eastAsia="Times New Roman" w:hAnsi="Times New Roman" w:cs="Times New Roman"/>
          <w:b/>
          <w:sz w:val="28"/>
          <w:szCs w:val="28"/>
          <w:lang w:val="pt-BR"/>
        </w:rPr>
        <w:t xml:space="preserve">3. Kỳ công bố: </w:t>
      </w:r>
      <w:r w:rsidRPr="006545AD">
        <w:rPr>
          <w:rFonts w:ascii="Times New Roman" w:eastAsia="Times New Roman" w:hAnsi="Times New Roman" w:cs="Times New Roman"/>
          <w:sz w:val="28"/>
          <w:szCs w:val="28"/>
          <w:lang w:val="en-US"/>
        </w:rPr>
        <w:t>2 năm.</w:t>
      </w:r>
    </w:p>
    <w:p w14:paraId="2D81C43D" w14:textId="77777777" w:rsidR="00FB7BBB" w:rsidRPr="006545AD" w:rsidRDefault="00FB7BBB" w:rsidP="005725BC">
      <w:pPr>
        <w:spacing w:before="60" w:after="60" w:line="240" w:lineRule="auto"/>
        <w:ind w:firstLine="709"/>
        <w:jc w:val="both"/>
        <w:rPr>
          <w:rFonts w:ascii="Times New Roman" w:eastAsia="Times New Roman" w:hAnsi="Times New Roman" w:cs="Times New Roman"/>
          <w:b/>
          <w:sz w:val="28"/>
          <w:szCs w:val="28"/>
          <w:lang w:val="pt-BR"/>
        </w:rPr>
      </w:pPr>
      <w:r w:rsidRPr="006545AD">
        <w:rPr>
          <w:rFonts w:ascii="Times New Roman" w:eastAsia="Times New Roman" w:hAnsi="Times New Roman" w:cs="Times New Roman"/>
          <w:b/>
          <w:sz w:val="28"/>
          <w:szCs w:val="28"/>
          <w:lang w:val="pt-BR"/>
        </w:rPr>
        <w:t>4. Nguồn số liệu</w:t>
      </w:r>
    </w:p>
    <w:p w14:paraId="66523405" w14:textId="77777777" w:rsidR="00FB7BBB" w:rsidRPr="006545AD" w:rsidRDefault="00FB7BBB" w:rsidP="005725BC">
      <w:pPr>
        <w:spacing w:before="60" w:after="60" w:line="240" w:lineRule="auto"/>
        <w:ind w:firstLine="709"/>
        <w:jc w:val="both"/>
        <w:rPr>
          <w:rFonts w:ascii="Times New Roman" w:eastAsia="Times New Roman" w:hAnsi="Times New Roman" w:cs="Times New Roman"/>
          <w:bCs/>
          <w:sz w:val="28"/>
          <w:szCs w:val="28"/>
          <w:lang w:val="pt-BR"/>
        </w:rPr>
      </w:pPr>
      <w:r w:rsidRPr="006545AD">
        <w:rPr>
          <w:rFonts w:ascii="Times New Roman" w:eastAsia="Times New Roman" w:hAnsi="Times New Roman" w:cs="Times New Roman"/>
          <w:bCs/>
          <w:sz w:val="28"/>
          <w:szCs w:val="28"/>
          <w:lang w:val="pt-BR"/>
        </w:rPr>
        <w:t>- Chế độ báo cáo Thống kê quốc gia;</w:t>
      </w:r>
    </w:p>
    <w:p w14:paraId="7AA2982D" w14:textId="77777777" w:rsidR="00FB7BBB" w:rsidRPr="006545AD" w:rsidRDefault="00FB7BBB" w:rsidP="005725BC">
      <w:pPr>
        <w:spacing w:before="60" w:after="60" w:line="240" w:lineRule="auto"/>
        <w:ind w:firstLine="709"/>
        <w:jc w:val="both"/>
        <w:rPr>
          <w:rFonts w:ascii="Times New Roman" w:eastAsia="Times New Roman" w:hAnsi="Times New Roman" w:cs="Times New Roman"/>
          <w:bCs/>
          <w:sz w:val="28"/>
          <w:szCs w:val="28"/>
          <w:lang w:val="pt-BR"/>
        </w:rPr>
      </w:pPr>
      <w:r w:rsidRPr="006545AD">
        <w:rPr>
          <w:rFonts w:ascii="Times New Roman" w:eastAsia="Times New Roman" w:hAnsi="Times New Roman" w:cs="Times New Roman"/>
          <w:bCs/>
          <w:sz w:val="28"/>
          <w:szCs w:val="28"/>
          <w:lang w:val="pt-BR"/>
        </w:rPr>
        <w:t>- Chế độ báo cáo thống kê Bộ, ngành;</w:t>
      </w:r>
    </w:p>
    <w:p w14:paraId="694B99E6" w14:textId="462606F4" w:rsidR="008D2BAD" w:rsidRPr="006545AD" w:rsidRDefault="00FB7BBB" w:rsidP="008D2BAD">
      <w:pPr>
        <w:spacing w:before="60" w:after="60" w:line="240" w:lineRule="auto"/>
        <w:ind w:firstLine="709"/>
        <w:jc w:val="both"/>
        <w:rPr>
          <w:rFonts w:ascii="Times New Roman" w:eastAsia="Times New Roman" w:hAnsi="Times New Roman" w:cs="Times New Roman"/>
          <w:bCs/>
          <w:sz w:val="28"/>
          <w:szCs w:val="28"/>
          <w:lang w:val="pt-BR"/>
        </w:rPr>
      </w:pPr>
      <w:r w:rsidRPr="006545AD">
        <w:rPr>
          <w:rFonts w:ascii="Times New Roman" w:eastAsia="Times New Roman" w:hAnsi="Times New Roman" w:cs="Times New Roman"/>
          <w:bCs/>
          <w:sz w:val="28"/>
          <w:szCs w:val="28"/>
          <w:lang w:val="pt-BR"/>
        </w:rPr>
        <w:t>- Dữ liệu hành chính;</w:t>
      </w:r>
      <w:r w:rsidR="008D2BAD" w:rsidRPr="006545AD">
        <w:rPr>
          <w:rFonts w:ascii="Times New Roman" w:eastAsia="Times New Roman" w:hAnsi="Times New Roman" w:cs="Times New Roman"/>
          <w:bCs/>
          <w:sz w:val="28"/>
          <w:szCs w:val="28"/>
          <w:lang w:val="pt-BR"/>
        </w:rPr>
        <w:t xml:space="preserve">                  </w:t>
      </w:r>
    </w:p>
    <w:p w14:paraId="64CB5CD9" w14:textId="3B3A884D" w:rsidR="008D2BAD" w:rsidRPr="006545AD" w:rsidRDefault="00FB7BBB" w:rsidP="008D2BAD">
      <w:pPr>
        <w:spacing w:before="60" w:after="60" w:line="240" w:lineRule="auto"/>
        <w:ind w:firstLine="709"/>
        <w:jc w:val="both"/>
        <w:rPr>
          <w:rFonts w:ascii="Times New Roman" w:eastAsia="Times New Roman" w:hAnsi="Times New Roman" w:cs="Times New Roman"/>
          <w:bCs/>
          <w:sz w:val="28"/>
          <w:szCs w:val="28"/>
          <w:lang w:val="pt-BR"/>
        </w:rPr>
      </w:pPr>
      <w:r w:rsidRPr="006545AD">
        <w:rPr>
          <w:rFonts w:ascii="Times New Roman" w:eastAsia="Times New Roman" w:hAnsi="Times New Roman" w:cs="Times New Roman"/>
          <w:bCs/>
          <w:sz w:val="28"/>
          <w:szCs w:val="28"/>
          <w:lang w:val="pt-BR"/>
        </w:rPr>
        <w:t>- Điều tra thống kê.</w:t>
      </w:r>
    </w:p>
    <w:p w14:paraId="004CE302" w14:textId="55F19ADC" w:rsidR="008D2BAD" w:rsidRDefault="00FB7BBB" w:rsidP="008D2BAD">
      <w:pPr>
        <w:spacing w:before="60" w:after="60" w:line="240" w:lineRule="auto"/>
        <w:ind w:firstLine="709"/>
        <w:jc w:val="both"/>
        <w:rPr>
          <w:rFonts w:ascii="Times New Roman" w:eastAsia="Times New Roman" w:hAnsi="Times New Roman" w:cs="Times New Roman"/>
          <w:spacing w:val="-4"/>
          <w:sz w:val="28"/>
          <w:szCs w:val="28"/>
        </w:rPr>
      </w:pPr>
      <w:r w:rsidRPr="006545AD">
        <w:rPr>
          <w:rFonts w:ascii="Times New Roman" w:eastAsia="Times New Roman" w:hAnsi="Times New Roman" w:cs="Times New Roman"/>
          <w:b/>
          <w:bCs/>
          <w:spacing w:val="-4"/>
          <w:sz w:val="28"/>
          <w:szCs w:val="28"/>
          <w:lang w:val="en-US"/>
        </w:rPr>
        <w:t>5. Cơ quan chịu trách nhiệm thu thập, tổng hợp:</w:t>
      </w:r>
      <w:r w:rsidRPr="006545AD">
        <w:rPr>
          <w:rFonts w:ascii="Times New Roman" w:eastAsia="Times New Roman" w:hAnsi="Times New Roman" w:cs="Times New Roman"/>
          <w:spacing w:val="-4"/>
          <w:sz w:val="28"/>
          <w:szCs w:val="28"/>
          <w:lang w:val="en-US"/>
        </w:rPr>
        <w:t xml:space="preserve"> </w:t>
      </w:r>
      <w:r w:rsidR="00C651A7" w:rsidRPr="006545AD">
        <w:rPr>
          <w:rFonts w:ascii="Times New Roman" w:eastAsia="Times New Roman" w:hAnsi="Times New Roman" w:cs="Times New Roman"/>
          <w:spacing w:val="-4"/>
          <w:sz w:val="28"/>
          <w:szCs w:val="28"/>
        </w:rPr>
        <w:t>Bộ Kế hoạch và Đầu tư (Tổng cục Thống kê)</w:t>
      </w:r>
      <w:r w:rsidR="009C0261" w:rsidRPr="006545AD">
        <w:rPr>
          <w:rFonts w:ascii="Times New Roman" w:eastAsia="Times New Roman" w:hAnsi="Times New Roman" w:cs="Times New Roman"/>
          <w:spacing w:val="-4"/>
          <w:sz w:val="28"/>
          <w:szCs w:val="28"/>
        </w:rPr>
        <w:t>.</w:t>
      </w:r>
    </w:p>
    <w:p w14:paraId="5B7D41A5" w14:textId="77777777" w:rsidR="00C574CF" w:rsidRDefault="00C574CF" w:rsidP="008D2BAD">
      <w:pPr>
        <w:spacing w:before="60" w:after="60" w:line="240" w:lineRule="auto"/>
        <w:ind w:firstLine="709"/>
        <w:jc w:val="both"/>
        <w:rPr>
          <w:rFonts w:ascii="Times New Roman" w:eastAsia="Times New Roman" w:hAnsi="Times New Roman" w:cs="Times New Roman"/>
          <w:spacing w:val="-4"/>
          <w:sz w:val="28"/>
          <w:szCs w:val="28"/>
        </w:rPr>
      </w:pPr>
    </w:p>
    <w:p w14:paraId="59799482" w14:textId="77777777" w:rsidR="00C574CF" w:rsidRDefault="00C574CF" w:rsidP="008D2BAD">
      <w:pPr>
        <w:spacing w:before="60" w:after="60" w:line="240" w:lineRule="auto"/>
        <w:ind w:firstLine="709"/>
        <w:jc w:val="both"/>
        <w:rPr>
          <w:rFonts w:ascii="Times New Roman" w:eastAsia="Times New Roman" w:hAnsi="Times New Roman" w:cs="Times New Roman"/>
          <w:spacing w:val="-4"/>
          <w:sz w:val="28"/>
          <w:szCs w:val="28"/>
        </w:rPr>
      </w:pPr>
    </w:p>
    <w:p w14:paraId="749B9950" w14:textId="77777777" w:rsidR="008D2BAD" w:rsidRDefault="008D2BAD" w:rsidP="008D2BAD">
      <w:pPr>
        <w:spacing w:before="60" w:after="60" w:line="240" w:lineRule="auto"/>
        <w:ind w:firstLine="709"/>
        <w:jc w:val="both"/>
        <w:rPr>
          <w:rFonts w:ascii="Times New Roman" w:eastAsia="Times New Roman" w:hAnsi="Times New Roman" w:cs="Times New Roman"/>
          <w:spacing w:val="-4"/>
          <w:sz w:val="28"/>
          <w:szCs w:val="28"/>
        </w:rPr>
      </w:pPr>
    </w:p>
    <w:p w14:paraId="1055780B" w14:textId="77777777" w:rsidR="008D2BAD" w:rsidRDefault="008D2BAD" w:rsidP="008D2BAD">
      <w:pPr>
        <w:spacing w:before="60" w:after="60" w:line="240" w:lineRule="auto"/>
        <w:ind w:firstLine="709"/>
        <w:jc w:val="both"/>
        <w:rPr>
          <w:rFonts w:ascii="Times New Roman" w:eastAsia="Times New Roman" w:hAnsi="Times New Roman" w:cs="Times New Roman"/>
          <w:spacing w:val="-4"/>
          <w:sz w:val="28"/>
          <w:szCs w:val="28"/>
        </w:rPr>
      </w:pPr>
    </w:p>
    <w:p w14:paraId="39EAF9B7" w14:textId="77777777" w:rsidR="008D2BAD" w:rsidRDefault="008D2BAD" w:rsidP="008D2BAD">
      <w:pPr>
        <w:spacing w:before="60" w:after="60" w:line="240" w:lineRule="auto"/>
        <w:ind w:firstLine="709"/>
        <w:jc w:val="both"/>
        <w:rPr>
          <w:rFonts w:ascii="Times New Roman" w:eastAsia="Times New Roman" w:hAnsi="Times New Roman" w:cs="Times New Roman"/>
          <w:spacing w:val="-4"/>
          <w:sz w:val="28"/>
          <w:szCs w:val="28"/>
        </w:rPr>
      </w:pPr>
    </w:p>
    <w:p w14:paraId="067AB268" w14:textId="77777777" w:rsidR="008D2BAD" w:rsidRDefault="008D2BAD" w:rsidP="008D2BAD">
      <w:pPr>
        <w:spacing w:before="60" w:after="60" w:line="240" w:lineRule="auto"/>
        <w:ind w:firstLine="709"/>
        <w:jc w:val="both"/>
        <w:rPr>
          <w:rFonts w:ascii="Times New Roman" w:eastAsia="Times New Roman" w:hAnsi="Times New Roman" w:cs="Times New Roman"/>
          <w:spacing w:val="-4"/>
          <w:sz w:val="28"/>
          <w:szCs w:val="28"/>
        </w:rPr>
      </w:pPr>
    </w:p>
    <w:p w14:paraId="2C1AF9DA" w14:textId="77777777" w:rsidR="008D2BAD" w:rsidRDefault="008D2BAD" w:rsidP="008D2BAD">
      <w:pPr>
        <w:spacing w:before="60" w:after="60" w:line="240" w:lineRule="auto"/>
        <w:ind w:firstLine="709"/>
        <w:jc w:val="both"/>
        <w:rPr>
          <w:rFonts w:ascii="Times New Roman" w:eastAsia="Times New Roman" w:hAnsi="Times New Roman" w:cs="Times New Roman"/>
          <w:spacing w:val="-4"/>
          <w:sz w:val="28"/>
          <w:szCs w:val="28"/>
        </w:rPr>
      </w:pPr>
    </w:p>
    <w:p w14:paraId="21EFF145" w14:textId="77777777" w:rsidR="008D2BAD" w:rsidRDefault="008D2BAD" w:rsidP="008D2BAD">
      <w:pPr>
        <w:spacing w:before="60" w:after="60" w:line="240" w:lineRule="auto"/>
        <w:ind w:firstLine="709"/>
        <w:jc w:val="both"/>
        <w:rPr>
          <w:rFonts w:ascii="Times New Roman" w:eastAsia="Times New Roman" w:hAnsi="Times New Roman" w:cs="Times New Roman"/>
          <w:spacing w:val="-4"/>
          <w:sz w:val="28"/>
          <w:szCs w:val="28"/>
        </w:rPr>
      </w:pPr>
    </w:p>
    <w:p w14:paraId="49B4091B" w14:textId="77777777" w:rsidR="008D2BAD" w:rsidRPr="008D2BAD" w:rsidRDefault="008D2BAD" w:rsidP="008D2BAD">
      <w:pPr>
        <w:spacing w:before="60" w:after="60" w:line="240" w:lineRule="auto"/>
        <w:ind w:firstLine="709"/>
        <w:jc w:val="both"/>
        <w:rPr>
          <w:rFonts w:ascii="Times New Roman" w:eastAsia="Times New Roman" w:hAnsi="Times New Roman" w:cs="Times New Roman"/>
          <w:bCs/>
          <w:sz w:val="28"/>
          <w:szCs w:val="28"/>
          <w:lang w:val="pt-BR"/>
        </w:rPr>
      </w:pPr>
    </w:p>
    <w:sectPr w:rsidR="008D2BAD" w:rsidRPr="008D2BAD" w:rsidSect="005725BC">
      <w:headerReference w:type="default" r:id="rId11"/>
      <w:pgSz w:w="11907" w:h="16839" w:code="9"/>
      <w:pgMar w:top="1134" w:right="1134" w:bottom="1134" w:left="1701" w:header="624" w:footer="624" w:gutter="0"/>
      <w:pgNumType w:start="1"/>
      <w:cols w:space="720"/>
      <w:vAlign w:val="center"/>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guyễn Thị Ngân" w:date="2023-09-17T14:51:00Z" w:initials="NTN">
    <w:p w14:paraId="0F21420B" w14:textId="77777777" w:rsidR="00EE2829" w:rsidRDefault="00EE2829" w:rsidP="0058457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214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FAA59" w16cex:dateUtc="2023-10-10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15AAF" w16cid:durableId="28CFAA59"/>
  <w16cid:commentId w16cid:paraId="0F21420B" w16cid:durableId="28CFAA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D7278" w14:textId="77777777" w:rsidR="00EF5502" w:rsidRDefault="00EF5502" w:rsidP="00DB4214">
      <w:pPr>
        <w:spacing w:line="240" w:lineRule="auto"/>
      </w:pPr>
      <w:r>
        <w:separator/>
      </w:r>
    </w:p>
  </w:endnote>
  <w:endnote w:type="continuationSeparator" w:id="0">
    <w:p w14:paraId="156DAE13" w14:textId="77777777" w:rsidR="00EF5502" w:rsidRDefault="00EF5502" w:rsidP="00DB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notTrueType/>
    <w:pitch w:val="default"/>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F11E" w14:textId="77777777" w:rsidR="00EF5502" w:rsidRDefault="00EF5502" w:rsidP="00DB4214">
      <w:pPr>
        <w:spacing w:line="240" w:lineRule="auto"/>
      </w:pPr>
      <w:r>
        <w:separator/>
      </w:r>
    </w:p>
  </w:footnote>
  <w:footnote w:type="continuationSeparator" w:id="0">
    <w:p w14:paraId="5F186C4C" w14:textId="77777777" w:rsidR="00EF5502" w:rsidRDefault="00EF5502" w:rsidP="00DB4214">
      <w:pPr>
        <w:spacing w:line="240" w:lineRule="auto"/>
      </w:pPr>
      <w:r>
        <w:continuationSeparator/>
      </w:r>
    </w:p>
  </w:footnote>
  <w:footnote w:id="1">
    <w:p w14:paraId="11F8E8ED" w14:textId="77777777" w:rsidR="00EE2829" w:rsidRPr="005725BC" w:rsidRDefault="00EE2829" w:rsidP="0040586B">
      <w:pPr>
        <w:pStyle w:val="FootnoteText"/>
        <w:rPr>
          <w:sz w:val="18"/>
          <w:szCs w:val="18"/>
        </w:rPr>
      </w:pPr>
      <w:r w:rsidRPr="005725BC">
        <w:rPr>
          <w:rStyle w:val="FootnoteReference"/>
          <w:sz w:val="18"/>
          <w:szCs w:val="18"/>
        </w:rPr>
        <w:footnoteRef/>
      </w:r>
      <w:r w:rsidRPr="005725BC">
        <w:rPr>
          <w:sz w:val="18"/>
          <w:szCs w:val="18"/>
        </w:rPr>
        <w:t xml:space="preserve"> Luật Bảo vệ môi trường 2020</w:t>
      </w:r>
    </w:p>
  </w:footnote>
  <w:footnote w:id="2">
    <w:p w14:paraId="150C8426" w14:textId="77777777" w:rsidR="00EE2829" w:rsidRPr="00074303" w:rsidRDefault="00EE2829" w:rsidP="0040586B">
      <w:pPr>
        <w:pStyle w:val="FootnoteText"/>
      </w:pPr>
      <w:r w:rsidRPr="005725BC">
        <w:rPr>
          <w:rStyle w:val="FootnoteReference"/>
          <w:sz w:val="18"/>
          <w:szCs w:val="18"/>
        </w:rPr>
        <w:footnoteRef/>
      </w:r>
      <w:r w:rsidRPr="005725BC">
        <w:rPr>
          <w:sz w:val="18"/>
          <w:szCs w:val="18"/>
        </w:rPr>
        <w:t xml:space="preserve"> Nghị định 06/2022/NĐ-CP quy định về giảm nhẹ phát thải khí nhà kính và bảo vệ tầng ô-</w:t>
      </w:r>
      <w:r>
        <w:rPr>
          <w:sz w:val="18"/>
          <w:szCs w:val="18"/>
        </w:rPr>
        <w:t>z</w:t>
      </w:r>
      <w:r w:rsidRPr="005725BC">
        <w:rPr>
          <w:sz w:val="18"/>
          <w:szCs w:val="18"/>
        </w:rPr>
        <w:t>ôn</w:t>
      </w:r>
    </w:p>
  </w:footnote>
  <w:footnote w:id="3">
    <w:p w14:paraId="1C366B31" w14:textId="77777777" w:rsidR="00EE2829" w:rsidRDefault="00EE2829" w:rsidP="0040586B">
      <w:pPr>
        <w:pStyle w:val="FootnoteText"/>
      </w:pPr>
      <w:r>
        <w:rPr>
          <w:rStyle w:val="FootnoteReference"/>
        </w:rPr>
        <w:footnoteRef/>
      </w:r>
      <w:r>
        <w:t xml:space="preserve"> Quyết định số 01/2022/QĐ-TTg ngày 18/01/2022 của Thủ tướng Chính phủ ban hành danh mục lĩnh vực, cơ sở phát thải khí nhà kính phải thực hiện kiểm kê khí nhà kính.</w:t>
      </w:r>
    </w:p>
  </w:footnote>
  <w:footnote w:id="4">
    <w:p w14:paraId="6EBAF1EB" w14:textId="77777777" w:rsidR="00EE2829" w:rsidRDefault="00EE2829" w:rsidP="0040586B">
      <w:pPr>
        <w:pStyle w:val="FootnoteText"/>
      </w:pPr>
      <w:r>
        <w:rPr>
          <w:rStyle w:val="FootnoteReference"/>
        </w:rPr>
        <w:footnoteRef/>
      </w:r>
      <w:r>
        <w:t xml:space="preserve"> </w:t>
      </w:r>
      <w:r w:rsidRPr="000F3707">
        <w:rPr>
          <w:sz w:val="18"/>
        </w:rPr>
        <w:t>Luật Bảo vệ môi trường 2020</w:t>
      </w:r>
    </w:p>
  </w:footnote>
  <w:footnote w:id="5">
    <w:p w14:paraId="14DFAA47" w14:textId="77777777" w:rsidR="00EE2829" w:rsidRDefault="00EE2829" w:rsidP="009E1776">
      <w:pPr>
        <w:pStyle w:val="FootnoteText"/>
        <w:jc w:val="both"/>
      </w:pPr>
      <w:r>
        <w:rPr>
          <w:rStyle w:val="FootnoteReference"/>
        </w:rPr>
        <w:footnoteRef/>
      </w:r>
      <w:r>
        <w:t xml:space="preserve"> </w:t>
      </w:r>
      <w:r w:rsidRPr="000F3707">
        <w:rPr>
          <w:sz w:val="18"/>
          <w:szCs w:val="18"/>
        </w:rPr>
        <w:t>Nghị định 06/2022/NĐ-CP quy định về giảm nhẹ phát thải khí nhà kính và bảo vệ tầng ô-dôn</w:t>
      </w:r>
    </w:p>
  </w:footnote>
  <w:footnote w:id="6">
    <w:p w14:paraId="63941A77" w14:textId="77777777" w:rsidR="00EE2829" w:rsidRDefault="00EE2829" w:rsidP="009E1776">
      <w:pPr>
        <w:pStyle w:val="FootnoteText"/>
        <w:jc w:val="both"/>
      </w:pPr>
      <w:r>
        <w:rPr>
          <w:rStyle w:val="FootnoteReference"/>
        </w:rPr>
        <w:footnoteRef/>
      </w:r>
      <w:r>
        <w:t xml:space="preserve"> </w:t>
      </w:r>
      <w:r w:rsidRPr="009E1776">
        <w:rPr>
          <w:sz w:val="18"/>
        </w:rPr>
        <w:t>Quyết định số 01/2022/QĐ-TTg ngày 18/01/2022 của Thủ tướng Chính phủ ban hành danh mục lĩnh vực, cơ sở phát thải khí nhà kính phải thực hiện kiểm kê khí nhà kính.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56545"/>
      <w:docPartObj>
        <w:docPartGallery w:val="Page Numbers (Top of Page)"/>
        <w:docPartUnique/>
      </w:docPartObj>
    </w:sdtPr>
    <w:sdtEndPr>
      <w:rPr>
        <w:rFonts w:ascii="Times New Roman" w:hAnsi="Times New Roman"/>
        <w:noProof/>
      </w:rPr>
    </w:sdtEndPr>
    <w:sdtContent>
      <w:p w14:paraId="3BA6F543" w14:textId="3F765329" w:rsidR="00EE2829" w:rsidRPr="005725BC" w:rsidRDefault="00EE2829">
        <w:pPr>
          <w:pStyle w:val="Header"/>
          <w:jc w:val="center"/>
          <w:rPr>
            <w:rFonts w:ascii="Times New Roman" w:hAnsi="Times New Roman"/>
          </w:rPr>
        </w:pPr>
        <w:r w:rsidRPr="005725BC">
          <w:rPr>
            <w:rFonts w:ascii="Times New Roman" w:hAnsi="Times New Roman"/>
          </w:rPr>
          <w:fldChar w:fldCharType="begin"/>
        </w:r>
        <w:r w:rsidRPr="005725BC">
          <w:rPr>
            <w:rFonts w:ascii="Times New Roman" w:hAnsi="Times New Roman"/>
          </w:rPr>
          <w:instrText xml:space="preserve"> PAGE   \* MERGEFORMAT </w:instrText>
        </w:r>
        <w:r w:rsidRPr="005725BC">
          <w:rPr>
            <w:rFonts w:ascii="Times New Roman" w:hAnsi="Times New Roman"/>
          </w:rPr>
          <w:fldChar w:fldCharType="separate"/>
        </w:r>
        <w:r w:rsidR="00BE3A58">
          <w:rPr>
            <w:rFonts w:ascii="Times New Roman" w:hAnsi="Times New Roman"/>
            <w:noProof/>
          </w:rPr>
          <w:t>74</w:t>
        </w:r>
        <w:r w:rsidRPr="005725BC">
          <w:rPr>
            <w:rFonts w:ascii="Times New Roman" w:hAnsi="Times New Roman"/>
            <w:noProof/>
          </w:rPr>
          <w:fldChar w:fldCharType="end"/>
        </w:r>
      </w:p>
    </w:sdtContent>
  </w:sdt>
  <w:p w14:paraId="0438DAD1" w14:textId="77777777" w:rsidR="00EE2829" w:rsidRDefault="00EE28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308"/>
    <w:multiLevelType w:val="hybridMultilevel"/>
    <w:tmpl w:val="857EDD10"/>
    <w:lvl w:ilvl="0" w:tplc="D69478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075DF6"/>
    <w:multiLevelType w:val="hybridMultilevel"/>
    <w:tmpl w:val="9B78B2D2"/>
    <w:lvl w:ilvl="0" w:tplc="697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733EA2"/>
    <w:multiLevelType w:val="multilevel"/>
    <w:tmpl w:val="3716C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BE93A2A"/>
    <w:multiLevelType w:val="hybridMultilevel"/>
    <w:tmpl w:val="E0DABBE0"/>
    <w:lvl w:ilvl="0" w:tplc="D26AAC4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22824"/>
    <w:multiLevelType w:val="multilevel"/>
    <w:tmpl w:val="34E215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DD65DE8"/>
    <w:multiLevelType w:val="hybridMultilevel"/>
    <w:tmpl w:val="63A6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ễn Thị Ngân">
    <w15:presenceInfo w15:providerId="AD" w15:userId="S-1-5-21-487819058-3922054978-3426144088-14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5"/>
    <w:rsid w:val="0000319A"/>
    <w:rsid w:val="00004522"/>
    <w:rsid w:val="000045FB"/>
    <w:rsid w:val="0000538F"/>
    <w:rsid w:val="000113A9"/>
    <w:rsid w:val="000127B4"/>
    <w:rsid w:val="00024399"/>
    <w:rsid w:val="00024D71"/>
    <w:rsid w:val="00027F5B"/>
    <w:rsid w:val="00033C63"/>
    <w:rsid w:val="00035C46"/>
    <w:rsid w:val="000371FB"/>
    <w:rsid w:val="000372BF"/>
    <w:rsid w:val="000440B7"/>
    <w:rsid w:val="000461CF"/>
    <w:rsid w:val="00053130"/>
    <w:rsid w:val="00061D73"/>
    <w:rsid w:val="000716EE"/>
    <w:rsid w:val="00074303"/>
    <w:rsid w:val="000757C0"/>
    <w:rsid w:val="0007713D"/>
    <w:rsid w:val="000827BF"/>
    <w:rsid w:val="00082CE3"/>
    <w:rsid w:val="000900A1"/>
    <w:rsid w:val="000909C7"/>
    <w:rsid w:val="000917E7"/>
    <w:rsid w:val="000950C2"/>
    <w:rsid w:val="000A1771"/>
    <w:rsid w:val="000B3ABE"/>
    <w:rsid w:val="000B7BE2"/>
    <w:rsid w:val="000C05EE"/>
    <w:rsid w:val="000C6B0C"/>
    <w:rsid w:val="000D5F2E"/>
    <w:rsid w:val="000E0070"/>
    <w:rsid w:val="000E04C6"/>
    <w:rsid w:val="000E18F2"/>
    <w:rsid w:val="000E5E7E"/>
    <w:rsid w:val="000F01D4"/>
    <w:rsid w:val="000F4786"/>
    <w:rsid w:val="001018C5"/>
    <w:rsid w:val="001040E6"/>
    <w:rsid w:val="0011258C"/>
    <w:rsid w:val="00112B88"/>
    <w:rsid w:val="00117DEF"/>
    <w:rsid w:val="0012451B"/>
    <w:rsid w:val="00125A76"/>
    <w:rsid w:val="00126071"/>
    <w:rsid w:val="00132E80"/>
    <w:rsid w:val="00147A3F"/>
    <w:rsid w:val="001518B5"/>
    <w:rsid w:val="001553C3"/>
    <w:rsid w:val="00172B1A"/>
    <w:rsid w:val="001740DD"/>
    <w:rsid w:val="0018643E"/>
    <w:rsid w:val="001879A0"/>
    <w:rsid w:val="00193720"/>
    <w:rsid w:val="0019454A"/>
    <w:rsid w:val="00196117"/>
    <w:rsid w:val="00196B05"/>
    <w:rsid w:val="00197158"/>
    <w:rsid w:val="001A052C"/>
    <w:rsid w:val="001A0EE8"/>
    <w:rsid w:val="001B021B"/>
    <w:rsid w:val="001B23A9"/>
    <w:rsid w:val="001C1D4B"/>
    <w:rsid w:val="001C5559"/>
    <w:rsid w:val="001D0E38"/>
    <w:rsid w:val="001F2B28"/>
    <w:rsid w:val="001F41F4"/>
    <w:rsid w:val="001F7482"/>
    <w:rsid w:val="00200470"/>
    <w:rsid w:val="00205089"/>
    <w:rsid w:val="00210E81"/>
    <w:rsid w:val="00210ED0"/>
    <w:rsid w:val="00220736"/>
    <w:rsid w:val="00223361"/>
    <w:rsid w:val="00224DB4"/>
    <w:rsid w:val="00240F0A"/>
    <w:rsid w:val="00244E9E"/>
    <w:rsid w:val="00251D66"/>
    <w:rsid w:val="00254516"/>
    <w:rsid w:val="0026189E"/>
    <w:rsid w:val="00264255"/>
    <w:rsid w:val="00271007"/>
    <w:rsid w:val="00277219"/>
    <w:rsid w:val="002821D1"/>
    <w:rsid w:val="00287B69"/>
    <w:rsid w:val="002A29EC"/>
    <w:rsid w:val="002A2A81"/>
    <w:rsid w:val="002A731A"/>
    <w:rsid w:val="002A765D"/>
    <w:rsid w:val="002B11E2"/>
    <w:rsid w:val="002B3DF5"/>
    <w:rsid w:val="002B3F61"/>
    <w:rsid w:val="002C2FB3"/>
    <w:rsid w:val="002C4580"/>
    <w:rsid w:val="002D08E8"/>
    <w:rsid w:val="002D2AA6"/>
    <w:rsid w:val="002D50B0"/>
    <w:rsid w:val="002D73E6"/>
    <w:rsid w:val="002E18D8"/>
    <w:rsid w:val="002E4020"/>
    <w:rsid w:val="002E4693"/>
    <w:rsid w:val="002F5784"/>
    <w:rsid w:val="0030350D"/>
    <w:rsid w:val="00307A26"/>
    <w:rsid w:val="00322064"/>
    <w:rsid w:val="00327C93"/>
    <w:rsid w:val="00346FE8"/>
    <w:rsid w:val="00350DB3"/>
    <w:rsid w:val="00357C5D"/>
    <w:rsid w:val="0036279A"/>
    <w:rsid w:val="003649E6"/>
    <w:rsid w:val="00371470"/>
    <w:rsid w:val="003735C2"/>
    <w:rsid w:val="003752C8"/>
    <w:rsid w:val="00375ADE"/>
    <w:rsid w:val="00376CC5"/>
    <w:rsid w:val="00384907"/>
    <w:rsid w:val="00397ED2"/>
    <w:rsid w:val="003B417D"/>
    <w:rsid w:val="003B4716"/>
    <w:rsid w:val="003C333F"/>
    <w:rsid w:val="003C717E"/>
    <w:rsid w:val="003D2CED"/>
    <w:rsid w:val="003E5584"/>
    <w:rsid w:val="003E60C8"/>
    <w:rsid w:val="003F0AD8"/>
    <w:rsid w:val="003F4111"/>
    <w:rsid w:val="003F5331"/>
    <w:rsid w:val="0040586B"/>
    <w:rsid w:val="0041153C"/>
    <w:rsid w:val="004141D4"/>
    <w:rsid w:val="0041568A"/>
    <w:rsid w:val="004307B1"/>
    <w:rsid w:val="00442DB6"/>
    <w:rsid w:val="00445B68"/>
    <w:rsid w:val="00450EC2"/>
    <w:rsid w:val="00455D37"/>
    <w:rsid w:val="00457DDF"/>
    <w:rsid w:val="00460315"/>
    <w:rsid w:val="00460BC2"/>
    <w:rsid w:val="00460C55"/>
    <w:rsid w:val="00463675"/>
    <w:rsid w:val="00465BFE"/>
    <w:rsid w:val="00482662"/>
    <w:rsid w:val="00486090"/>
    <w:rsid w:val="00486F21"/>
    <w:rsid w:val="00486F79"/>
    <w:rsid w:val="00491542"/>
    <w:rsid w:val="00492230"/>
    <w:rsid w:val="00493E30"/>
    <w:rsid w:val="004A57A4"/>
    <w:rsid w:val="004A59C0"/>
    <w:rsid w:val="004B24BC"/>
    <w:rsid w:val="004B37A2"/>
    <w:rsid w:val="004B5439"/>
    <w:rsid w:val="004B795D"/>
    <w:rsid w:val="004C0C8B"/>
    <w:rsid w:val="004C4134"/>
    <w:rsid w:val="004C7B41"/>
    <w:rsid w:val="004E16AC"/>
    <w:rsid w:val="00500520"/>
    <w:rsid w:val="00503B35"/>
    <w:rsid w:val="005120BD"/>
    <w:rsid w:val="005129E0"/>
    <w:rsid w:val="00513485"/>
    <w:rsid w:val="00515054"/>
    <w:rsid w:val="00522C4C"/>
    <w:rsid w:val="0052422D"/>
    <w:rsid w:val="005326D8"/>
    <w:rsid w:val="0053428A"/>
    <w:rsid w:val="00540CDA"/>
    <w:rsid w:val="00540DCF"/>
    <w:rsid w:val="00543F78"/>
    <w:rsid w:val="00547E12"/>
    <w:rsid w:val="00551448"/>
    <w:rsid w:val="00551481"/>
    <w:rsid w:val="00552668"/>
    <w:rsid w:val="00553491"/>
    <w:rsid w:val="00555BF6"/>
    <w:rsid w:val="005566FB"/>
    <w:rsid w:val="00556FC2"/>
    <w:rsid w:val="00563C02"/>
    <w:rsid w:val="005705C1"/>
    <w:rsid w:val="005708BA"/>
    <w:rsid w:val="005725BC"/>
    <w:rsid w:val="00574BDA"/>
    <w:rsid w:val="0058246F"/>
    <w:rsid w:val="00584572"/>
    <w:rsid w:val="00592635"/>
    <w:rsid w:val="005934BD"/>
    <w:rsid w:val="005A1B70"/>
    <w:rsid w:val="005A3F7D"/>
    <w:rsid w:val="005A6374"/>
    <w:rsid w:val="005A6BE3"/>
    <w:rsid w:val="005A7F64"/>
    <w:rsid w:val="005B04E9"/>
    <w:rsid w:val="005B534B"/>
    <w:rsid w:val="005C0C9A"/>
    <w:rsid w:val="005D28B5"/>
    <w:rsid w:val="005D5E08"/>
    <w:rsid w:val="005E1D2D"/>
    <w:rsid w:val="005E3143"/>
    <w:rsid w:val="005E3443"/>
    <w:rsid w:val="005E36A1"/>
    <w:rsid w:val="005E5DB9"/>
    <w:rsid w:val="005F61CC"/>
    <w:rsid w:val="00602547"/>
    <w:rsid w:val="006065A7"/>
    <w:rsid w:val="006114F0"/>
    <w:rsid w:val="00614DA2"/>
    <w:rsid w:val="006229F2"/>
    <w:rsid w:val="006252BD"/>
    <w:rsid w:val="0063386A"/>
    <w:rsid w:val="0063652A"/>
    <w:rsid w:val="00640BA2"/>
    <w:rsid w:val="00640E8A"/>
    <w:rsid w:val="00642527"/>
    <w:rsid w:val="0064478A"/>
    <w:rsid w:val="00645CB2"/>
    <w:rsid w:val="00652AE3"/>
    <w:rsid w:val="00652EC1"/>
    <w:rsid w:val="006545AD"/>
    <w:rsid w:val="0066396E"/>
    <w:rsid w:val="006650C4"/>
    <w:rsid w:val="0067698D"/>
    <w:rsid w:val="00686B3A"/>
    <w:rsid w:val="0069484B"/>
    <w:rsid w:val="0069530E"/>
    <w:rsid w:val="006A7FD7"/>
    <w:rsid w:val="006B008B"/>
    <w:rsid w:val="006C283D"/>
    <w:rsid w:val="006C688A"/>
    <w:rsid w:val="006E7C70"/>
    <w:rsid w:val="00702499"/>
    <w:rsid w:val="007042A6"/>
    <w:rsid w:val="00705882"/>
    <w:rsid w:val="007132D7"/>
    <w:rsid w:val="00713B68"/>
    <w:rsid w:val="00713EEE"/>
    <w:rsid w:val="00714CB6"/>
    <w:rsid w:val="007165DD"/>
    <w:rsid w:val="00730429"/>
    <w:rsid w:val="007330FA"/>
    <w:rsid w:val="0074563B"/>
    <w:rsid w:val="00750749"/>
    <w:rsid w:val="00753BE4"/>
    <w:rsid w:val="00762617"/>
    <w:rsid w:val="00767D0E"/>
    <w:rsid w:val="00773450"/>
    <w:rsid w:val="0077599A"/>
    <w:rsid w:val="0078088D"/>
    <w:rsid w:val="00781C2A"/>
    <w:rsid w:val="00783388"/>
    <w:rsid w:val="00795E05"/>
    <w:rsid w:val="007B0EDE"/>
    <w:rsid w:val="007B70E9"/>
    <w:rsid w:val="007C258F"/>
    <w:rsid w:val="007C41AD"/>
    <w:rsid w:val="007D3A76"/>
    <w:rsid w:val="007D5748"/>
    <w:rsid w:val="007D592A"/>
    <w:rsid w:val="007E2754"/>
    <w:rsid w:val="007F290C"/>
    <w:rsid w:val="00801E03"/>
    <w:rsid w:val="00807868"/>
    <w:rsid w:val="008213CD"/>
    <w:rsid w:val="00836A4E"/>
    <w:rsid w:val="00843CDA"/>
    <w:rsid w:val="00843F1E"/>
    <w:rsid w:val="00845C63"/>
    <w:rsid w:val="00847C20"/>
    <w:rsid w:val="00847E85"/>
    <w:rsid w:val="00851B29"/>
    <w:rsid w:val="00853927"/>
    <w:rsid w:val="00856769"/>
    <w:rsid w:val="008605DF"/>
    <w:rsid w:val="008616AF"/>
    <w:rsid w:val="00861A37"/>
    <w:rsid w:val="008725E6"/>
    <w:rsid w:val="00875241"/>
    <w:rsid w:val="00875A44"/>
    <w:rsid w:val="0088243F"/>
    <w:rsid w:val="00882B8D"/>
    <w:rsid w:val="008851BE"/>
    <w:rsid w:val="00887180"/>
    <w:rsid w:val="00891A08"/>
    <w:rsid w:val="00893D92"/>
    <w:rsid w:val="008A0E6C"/>
    <w:rsid w:val="008A69D5"/>
    <w:rsid w:val="008B348B"/>
    <w:rsid w:val="008C15B1"/>
    <w:rsid w:val="008C1852"/>
    <w:rsid w:val="008C519C"/>
    <w:rsid w:val="008C615B"/>
    <w:rsid w:val="008D152C"/>
    <w:rsid w:val="008D2BAD"/>
    <w:rsid w:val="008D5700"/>
    <w:rsid w:val="008D7890"/>
    <w:rsid w:val="008F4DD4"/>
    <w:rsid w:val="009025E8"/>
    <w:rsid w:val="009030DF"/>
    <w:rsid w:val="009062D5"/>
    <w:rsid w:val="00907E4B"/>
    <w:rsid w:val="00913851"/>
    <w:rsid w:val="00920590"/>
    <w:rsid w:val="009214B2"/>
    <w:rsid w:val="00923EF8"/>
    <w:rsid w:val="00925A1B"/>
    <w:rsid w:val="00925DFB"/>
    <w:rsid w:val="0092615D"/>
    <w:rsid w:val="00930F48"/>
    <w:rsid w:val="00932C73"/>
    <w:rsid w:val="00935124"/>
    <w:rsid w:val="0093552C"/>
    <w:rsid w:val="009371FA"/>
    <w:rsid w:val="0094603B"/>
    <w:rsid w:val="00946878"/>
    <w:rsid w:val="00946967"/>
    <w:rsid w:val="0095064E"/>
    <w:rsid w:val="009563A9"/>
    <w:rsid w:val="00957393"/>
    <w:rsid w:val="00960525"/>
    <w:rsid w:val="00962F16"/>
    <w:rsid w:val="00962F9D"/>
    <w:rsid w:val="0096335A"/>
    <w:rsid w:val="009656CA"/>
    <w:rsid w:val="00966B53"/>
    <w:rsid w:val="00972072"/>
    <w:rsid w:val="00976AC3"/>
    <w:rsid w:val="00977DA7"/>
    <w:rsid w:val="00984868"/>
    <w:rsid w:val="009904A7"/>
    <w:rsid w:val="00990DDC"/>
    <w:rsid w:val="00992475"/>
    <w:rsid w:val="00992BD9"/>
    <w:rsid w:val="00996010"/>
    <w:rsid w:val="00997C4F"/>
    <w:rsid w:val="009A51F4"/>
    <w:rsid w:val="009A64D8"/>
    <w:rsid w:val="009B7606"/>
    <w:rsid w:val="009C0261"/>
    <w:rsid w:val="009C6E98"/>
    <w:rsid w:val="009C7970"/>
    <w:rsid w:val="009D273D"/>
    <w:rsid w:val="009D431D"/>
    <w:rsid w:val="009D6BE0"/>
    <w:rsid w:val="009E10CA"/>
    <w:rsid w:val="009E1776"/>
    <w:rsid w:val="009E4BC5"/>
    <w:rsid w:val="009F3D4A"/>
    <w:rsid w:val="009F5D75"/>
    <w:rsid w:val="00A04FAA"/>
    <w:rsid w:val="00A07EAE"/>
    <w:rsid w:val="00A13E6D"/>
    <w:rsid w:val="00A15E8E"/>
    <w:rsid w:val="00A16D0A"/>
    <w:rsid w:val="00A2323A"/>
    <w:rsid w:val="00A23FE4"/>
    <w:rsid w:val="00A27355"/>
    <w:rsid w:val="00A27BEE"/>
    <w:rsid w:val="00A27F89"/>
    <w:rsid w:val="00A339A7"/>
    <w:rsid w:val="00A41B29"/>
    <w:rsid w:val="00A4491A"/>
    <w:rsid w:val="00A51032"/>
    <w:rsid w:val="00A612F2"/>
    <w:rsid w:val="00A65278"/>
    <w:rsid w:val="00A671B6"/>
    <w:rsid w:val="00A9129B"/>
    <w:rsid w:val="00A95B06"/>
    <w:rsid w:val="00AA08DC"/>
    <w:rsid w:val="00AA139E"/>
    <w:rsid w:val="00AB1862"/>
    <w:rsid w:val="00AB1EA5"/>
    <w:rsid w:val="00AB209B"/>
    <w:rsid w:val="00AB31A1"/>
    <w:rsid w:val="00AB6E3A"/>
    <w:rsid w:val="00AB7E0E"/>
    <w:rsid w:val="00AC65E8"/>
    <w:rsid w:val="00AD0585"/>
    <w:rsid w:val="00AD2E22"/>
    <w:rsid w:val="00AE2522"/>
    <w:rsid w:val="00AE4EEB"/>
    <w:rsid w:val="00AF285D"/>
    <w:rsid w:val="00AF6456"/>
    <w:rsid w:val="00B06CA2"/>
    <w:rsid w:val="00B10EA3"/>
    <w:rsid w:val="00B10FA9"/>
    <w:rsid w:val="00B1692D"/>
    <w:rsid w:val="00B16D32"/>
    <w:rsid w:val="00B17E12"/>
    <w:rsid w:val="00B24F87"/>
    <w:rsid w:val="00B27DCE"/>
    <w:rsid w:val="00B307A2"/>
    <w:rsid w:val="00B31CFC"/>
    <w:rsid w:val="00B363CB"/>
    <w:rsid w:val="00B36DE5"/>
    <w:rsid w:val="00B37B5F"/>
    <w:rsid w:val="00B4030C"/>
    <w:rsid w:val="00B41E9F"/>
    <w:rsid w:val="00B44191"/>
    <w:rsid w:val="00B45228"/>
    <w:rsid w:val="00B65A06"/>
    <w:rsid w:val="00B66CE6"/>
    <w:rsid w:val="00B70BB8"/>
    <w:rsid w:val="00B72341"/>
    <w:rsid w:val="00B72CE3"/>
    <w:rsid w:val="00B753F0"/>
    <w:rsid w:val="00B80340"/>
    <w:rsid w:val="00B81FE8"/>
    <w:rsid w:val="00B87C48"/>
    <w:rsid w:val="00B90463"/>
    <w:rsid w:val="00B92BA5"/>
    <w:rsid w:val="00B94FD7"/>
    <w:rsid w:val="00B9675E"/>
    <w:rsid w:val="00B9746D"/>
    <w:rsid w:val="00BA07DC"/>
    <w:rsid w:val="00BB21B6"/>
    <w:rsid w:val="00BB5B08"/>
    <w:rsid w:val="00BB5D6D"/>
    <w:rsid w:val="00BC3B40"/>
    <w:rsid w:val="00BD66E8"/>
    <w:rsid w:val="00BD6DFE"/>
    <w:rsid w:val="00BD7F28"/>
    <w:rsid w:val="00BE3A58"/>
    <w:rsid w:val="00BE4176"/>
    <w:rsid w:val="00BE7109"/>
    <w:rsid w:val="00BF0688"/>
    <w:rsid w:val="00BF088A"/>
    <w:rsid w:val="00C00464"/>
    <w:rsid w:val="00C00AA2"/>
    <w:rsid w:val="00C01618"/>
    <w:rsid w:val="00C03E9A"/>
    <w:rsid w:val="00C079F2"/>
    <w:rsid w:val="00C17382"/>
    <w:rsid w:val="00C218C4"/>
    <w:rsid w:val="00C439C3"/>
    <w:rsid w:val="00C43A4D"/>
    <w:rsid w:val="00C52321"/>
    <w:rsid w:val="00C5486A"/>
    <w:rsid w:val="00C57102"/>
    <w:rsid w:val="00C574CF"/>
    <w:rsid w:val="00C6080E"/>
    <w:rsid w:val="00C6342F"/>
    <w:rsid w:val="00C651A7"/>
    <w:rsid w:val="00C70840"/>
    <w:rsid w:val="00C828A2"/>
    <w:rsid w:val="00C82DF9"/>
    <w:rsid w:val="00C85E76"/>
    <w:rsid w:val="00C85EB8"/>
    <w:rsid w:val="00C8661A"/>
    <w:rsid w:val="00C91966"/>
    <w:rsid w:val="00C932E3"/>
    <w:rsid w:val="00CA06CC"/>
    <w:rsid w:val="00CA0BFE"/>
    <w:rsid w:val="00CA22DD"/>
    <w:rsid w:val="00CB03E9"/>
    <w:rsid w:val="00CB5D5D"/>
    <w:rsid w:val="00CB7975"/>
    <w:rsid w:val="00CC2088"/>
    <w:rsid w:val="00CD1D7F"/>
    <w:rsid w:val="00CD29E5"/>
    <w:rsid w:val="00CD2C5C"/>
    <w:rsid w:val="00CD3C2D"/>
    <w:rsid w:val="00CD3DD1"/>
    <w:rsid w:val="00CD41D9"/>
    <w:rsid w:val="00CE2ACB"/>
    <w:rsid w:val="00CE6AE0"/>
    <w:rsid w:val="00CF2A57"/>
    <w:rsid w:val="00CF2AA5"/>
    <w:rsid w:val="00CF2EFD"/>
    <w:rsid w:val="00CF5077"/>
    <w:rsid w:val="00CF73DE"/>
    <w:rsid w:val="00D01699"/>
    <w:rsid w:val="00D10121"/>
    <w:rsid w:val="00D14562"/>
    <w:rsid w:val="00D15AB8"/>
    <w:rsid w:val="00D163BC"/>
    <w:rsid w:val="00D16417"/>
    <w:rsid w:val="00D17597"/>
    <w:rsid w:val="00D20E39"/>
    <w:rsid w:val="00D31F50"/>
    <w:rsid w:val="00D320C2"/>
    <w:rsid w:val="00D413D1"/>
    <w:rsid w:val="00D45349"/>
    <w:rsid w:val="00D473D2"/>
    <w:rsid w:val="00D53A52"/>
    <w:rsid w:val="00D67E5A"/>
    <w:rsid w:val="00D760DF"/>
    <w:rsid w:val="00D770DF"/>
    <w:rsid w:val="00D83EFB"/>
    <w:rsid w:val="00D86962"/>
    <w:rsid w:val="00D86E79"/>
    <w:rsid w:val="00D90FFE"/>
    <w:rsid w:val="00D96666"/>
    <w:rsid w:val="00DA10FA"/>
    <w:rsid w:val="00DA1828"/>
    <w:rsid w:val="00DA1CA5"/>
    <w:rsid w:val="00DA3DAF"/>
    <w:rsid w:val="00DA5E36"/>
    <w:rsid w:val="00DB4138"/>
    <w:rsid w:val="00DB4214"/>
    <w:rsid w:val="00DB6B3F"/>
    <w:rsid w:val="00DC0505"/>
    <w:rsid w:val="00DC142B"/>
    <w:rsid w:val="00DC1B11"/>
    <w:rsid w:val="00DD3BE9"/>
    <w:rsid w:val="00DD4AF4"/>
    <w:rsid w:val="00DE2FCB"/>
    <w:rsid w:val="00DE3597"/>
    <w:rsid w:val="00DE4404"/>
    <w:rsid w:val="00DE6C5C"/>
    <w:rsid w:val="00DF246D"/>
    <w:rsid w:val="00DF4EA2"/>
    <w:rsid w:val="00E019E1"/>
    <w:rsid w:val="00E10EA3"/>
    <w:rsid w:val="00E1184C"/>
    <w:rsid w:val="00E14D07"/>
    <w:rsid w:val="00E1587D"/>
    <w:rsid w:val="00E16AE1"/>
    <w:rsid w:val="00E17DDD"/>
    <w:rsid w:val="00E21AF7"/>
    <w:rsid w:val="00E23BDF"/>
    <w:rsid w:val="00E2573C"/>
    <w:rsid w:val="00E25B1F"/>
    <w:rsid w:val="00E3255B"/>
    <w:rsid w:val="00E45F11"/>
    <w:rsid w:val="00E50555"/>
    <w:rsid w:val="00E5757B"/>
    <w:rsid w:val="00E63C67"/>
    <w:rsid w:val="00E703CB"/>
    <w:rsid w:val="00E70E68"/>
    <w:rsid w:val="00E821BE"/>
    <w:rsid w:val="00E83F17"/>
    <w:rsid w:val="00E87F73"/>
    <w:rsid w:val="00E9456D"/>
    <w:rsid w:val="00EA04EC"/>
    <w:rsid w:val="00EA0F09"/>
    <w:rsid w:val="00EA0F94"/>
    <w:rsid w:val="00EA101A"/>
    <w:rsid w:val="00EA37BE"/>
    <w:rsid w:val="00EA491B"/>
    <w:rsid w:val="00EA5F6D"/>
    <w:rsid w:val="00EB14D6"/>
    <w:rsid w:val="00EB7D3A"/>
    <w:rsid w:val="00EC1626"/>
    <w:rsid w:val="00EC1C4E"/>
    <w:rsid w:val="00EC2F36"/>
    <w:rsid w:val="00ED254C"/>
    <w:rsid w:val="00EE2829"/>
    <w:rsid w:val="00EE43C6"/>
    <w:rsid w:val="00EE5A98"/>
    <w:rsid w:val="00EF2C2E"/>
    <w:rsid w:val="00EF4E0C"/>
    <w:rsid w:val="00EF5502"/>
    <w:rsid w:val="00EF7303"/>
    <w:rsid w:val="00EF7789"/>
    <w:rsid w:val="00F119DC"/>
    <w:rsid w:val="00F17E83"/>
    <w:rsid w:val="00F246B3"/>
    <w:rsid w:val="00F24953"/>
    <w:rsid w:val="00F25924"/>
    <w:rsid w:val="00F25A73"/>
    <w:rsid w:val="00F30736"/>
    <w:rsid w:val="00F322D9"/>
    <w:rsid w:val="00F408D5"/>
    <w:rsid w:val="00F40E88"/>
    <w:rsid w:val="00F4554D"/>
    <w:rsid w:val="00F511B4"/>
    <w:rsid w:val="00F54586"/>
    <w:rsid w:val="00F562C2"/>
    <w:rsid w:val="00F6195D"/>
    <w:rsid w:val="00F62E52"/>
    <w:rsid w:val="00F70647"/>
    <w:rsid w:val="00F7432A"/>
    <w:rsid w:val="00F74421"/>
    <w:rsid w:val="00F7631E"/>
    <w:rsid w:val="00F77258"/>
    <w:rsid w:val="00F776D9"/>
    <w:rsid w:val="00F84480"/>
    <w:rsid w:val="00F84F5C"/>
    <w:rsid w:val="00F859A7"/>
    <w:rsid w:val="00FA20E5"/>
    <w:rsid w:val="00FA2498"/>
    <w:rsid w:val="00FA6571"/>
    <w:rsid w:val="00FA6E43"/>
    <w:rsid w:val="00FB770E"/>
    <w:rsid w:val="00FB7BBB"/>
    <w:rsid w:val="00FD6F40"/>
    <w:rsid w:val="00FE1510"/>
    <w:rsid w:val="00FE1893"/>
    <w:rsid w:val="00FE1E0A"/>
    <w:rsid w:val="00FE5AEC"/>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AD8A"/>
  <w15:docId w15:val="{F1B4CDC3-14B9-4393-BEEB-D92EFF0D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6E7C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15D"/>
    <w:rPr>
      <w:color w:val="808080"/>
    </w:rPr>
  </w:style>
  <w:style w:type="paragraph" w:styleId="BalloonText">
    <w:name w:val="Balloon Text"/>
    <w:basedOn w:val="Normal"/>
    <w:link w:val="BalloonTextChar"/>
    <w:uiPriority w:val="99"/>
    <w:semiHidden/>
    <w:unhideWhenUsed/>
    <w:rsid w:val="00DB42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14"/>
    <w:rPr>
      <w:rFonts w:ascii="Segoe UI" w:hAnsi="Segoe UI" w:cs="Segoe UI"/>
      <w:sz w:val="18"/>
      <w:szCs w:val="18"/>
    </w:rPr>
  </w:style>
  <w:style w:type="paragraph" w:styleId="Header">
    <w:name w:val="header"/>
    <w:basedOn w:val="Normal"/>
    <w:link w:val="HeaderChar"/>
    <w:uiPriority w:val="99"/>
    <w:unhideWhenUsed/>
    <w:rsid w:val="00DB4214"/>
    <w:pPr>
      <w:tabs>
        <w:tab w:val="center" w:pos="4680"/>
        <w:tab w:val="right" w:pos="9360"/>
      </w:tabs>
      <w:spacing w:line="240" w:lineRule="auto"/>
    </w:pPr>
  </w:style>
  <w:style w:type="character" w:customStyle="1" w:styleId="HeaderChar">
    <w:name w:val="Header Char"/>
    <w:basedOn w:val="DefaultParagraphFont"/>
    <w:link w:val="Header"/>
    <w:uiPriority w:val="99"/>
    <w:rsid w:val="00DB4214"/>
  </w:style>
  <w:style w:type="paragraph" w:styleId="Footer">
    <w:name w:val="footer"/>
    <w:basedOn w:val="Normal"/>
    <w:link w:val="FooterChar"/>
    <w:uiPriority w:val="99"/>
    <w:unhideWhenUsed/>
    <w:rsid w:val="00DB4214"/>
    <w:pPr>
      <w:tabs>
        <w:tab w:val="center" w:pos="4680"/>
        <w:tab w:val="right" w:pos="9360"/>
      </w:tabs>
      <w:spacing w:line="240" w:lineRule="auto"/>
    </w:pPr>
  </w:style>
  <w:style w:type="character" w:customStyle="1" w:styleId="FooterChar">
    <w:name w:val="Footer Char"/>
    <w:basedOn w:val="DefaultParagraphFont"/>
    <w:link w:val="Footer"/>
    <w:uiPriority w:val="99"/>
    <w:rsid w:val="00DB4214"/>
  </w:style>
  <w:style w:type="paragraph" w:styleId="NormalWeb">
    <w:name w:val="Normal (Web)"/>
    <w:basedOn w:val="Normal"/>
    <w:uiPriority w:val="99"/>
    <w:unhideWhenUsed/>
    <w:rsid w:val="00ED254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562C2"/>
    <w:rPr>
      <w:sz w:val="16"/>
      <w:szCs w:val="16"/>
    </w:rPr>
  </w:style>
  <w:style w:type="paragraph" w:styleId="CommentText">
    <w:name w:val="annotation text"/>
    <w:basedOn w:val="Normal"/>
    <w:link w:val="CommentTextChar"/>
    <w:uiPriority w:val="99"/>
    <w:semiHidden/>
    <w:unhideWhenUsed/>
    <w:rsid w:val="00F562C2"/>
    <w:pPr>
      <w:spacing w:line="240" w:lineRule="auto"/>
    </w:pPr>
    <w:rPr>
      <w:sz w:val="20"/>
      <w:szCs w:val="20"/>
    </w:rPr>
  </w:style>
  <w:style w:type="character" w:customStyle="1" w:styleId="CommentTextChar">
    <w:name w:val="Comment Text Char"/>
    <w:basedOn w:val="DefaultParagraphFont"/>
    <w:link w:val="CommentText"/>
    <w:uiPriority w:val="99"/>
    <w:semiHidden/>
    <w:rsid w:val="00F562C2"/>
    <w:rPr>
      <w:sz w:val="20"/>
      <w:szCs w:val="20"/>
    </w:rPr>
  </w:style>
  <w:style w:type="paragraph" w:styleId="CommentSubject">
    <w:name w:val="annotation subject"/>
    <w:basedOn w:val="CommentText"/>
    <w:next w:val="CommentText"/>
    <w:link w:val="CommentSubjectChar"/>
    <w:uiPriority w:val="99"/>
    <w:semiHidden/>
    <w:unhideWhenUsed/>
    <w:rsid w:val="00F562C2"/>
    <w:rPr>
      <w:b/>
      <w:bCs/>
    </w:rPr>
  </w:style>
  <w:style w:type="character" w:customStyle="1" w:styleId="CommentSubjectChar">
    <w:name w:val="Comment Subject Char"/>
    <w:basedOn w:val="CommentTextChar"/>
    <w:link w:val="CommentSubject"/>
    <w:uiPriority w:val="99"/>
    <w:semiHidden/>
    <w:rsid w:val="00F562C2"/>
    <w:rPr>
      <w:b/>
      <w:bCs/>
      <w:sz w:val="20"/>
      <w:szCs w:val="20"/>
    </w:rPr>
  </w:style>
  <w:style w:type="paragraph" w:styleId="ListParagraph">
    <w:name w:val="List Paragraph"/>
    <w:aliases w:val="List Paragraph (numbered (a)),Bullets,References,List Paragraph11,Sub-heading,List Paragraph1,Абзац списка1,EASPR13-01 normal,Source,List Paragraph 1,Numbered List Paragraph,List_Paragraph,Multilevel para_II,Normal 2,Bullit,Liste 1"/>
    <w:basedOn w:val="Normal"/>
    <w:link w:val="ListParagraphChar"/>
    <w:uiPriority w:val="34"/>
    <w:qFormat/>
    <w:rsid w:val="00EA101A"/>
    <w:pPr>
      <w:ind w:left="720"/>
      <w:contextualSpacing/>
    </w:pPr>
  </w:style>
  <w:style w:type="character" w:customStyle="1" w:styleId="ListParagraphChar">
    <w:name w:val="List Paragraph Char"/>
    <w:aliases w:val="List Paragraph (numbered (a)) Char,Bullets Char,References Char,List Paragraph11 Char,Sub-heading Char,List Paragraph1 Char,Абзац списка1 Char,EASPR13-01 normal Char,Source Char,List Paragraph 1 Char,Numbered List Paragraph Char"/>
    <w:link w:val="ListParagraph"/>
    <w:uiPriority w:val="34"/>
    <w:locked/>
    <w:rsid w:val="00EA101A"/>
  </w:style>
  <w:style w:type="paragraph" w:styleId="FootnoteText">
    <w:name w:val="footnote text"/>
    <w:basedOn w:val="Normal"/>
    <w:link w:val="FootnoteTextChar"/>
    <w:uiPriority w:val="99"/>
    <w:semiHidden/>
    <w:unhideWhenUsed/>
    <w:rsid w:val="00AB6E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B6E3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B6E3A"/>
    <w:rPr>
      <w:vertAlign w:val="superscript"/>
    </w:rPr>
  </w:style>
  <w:style w:type="paragraph" w:styleId="Revision">
    <w:name w:val="Revision"/>
    <w:hidden/>
    <w:uiPriority w:val="99"/>
    <w:semiHidden/>
    <w:rsid w:val="00D320C2"/>
    <w:pPr>
      <w:spacing w:line="240" w:lineRule="auto"/>
    </w:pPr>
  </w:style>
  <w:style w:type="character" w:customStyle="1" w:styleId="fontstyle01">
    <w:name w:val="fontstyle01"/>
    <w:basedOn w:val="DefaultParagraphFont"/>
    <w:rsid w:val="00584572"/>
    <w:rPr>
      <w:rFonts w:ascii="Times New Roman" w:hAnsi="Times New Roman" w:cs="Times New Roman" w:hint="default"/>
      <w:b/>
      <w:bCs/>
      <w:i/>
      <w:iCs/>
      <w:color w:val="000000"/>
      <w:sz w:val="28"/>
      <w:szCs w:val="28"/>
    </w:rPr>
  </w:style>
  <w:style w:type="table" w:customStyle="1" w:styleId="161">
    <w:name w:val="161"/>
    <w:basedOn w:val="TableNormal"/>
    <w:rsid w:val="000127B4"/>
    <w:tblPr>
      <w:tblStyleRowBandSize w:val="1"/>
      <w:tblStyleColBandSize w:val="1"/>
      <w:tblCellMar>
        <w:top w:w="100" w:type="dxa"/>
        <w:left w:w="100" w:type="dxa"/>
        <w:bottom w:w="100" w:type="dxa"/>
        <w:right w:w="100" w:type="dxa"/>
      </w:tblCellMar>
    </w:tblPr>
  </w:style>
  <w:style w:type="table" w:customStyle="1" w:styleId="181">
    <w:name w:val="181"/>
    <w:basedOn w:val="TableNormal"/>
    <w:rsid w:val="000127B4"/>
    <w:tblPr>
      <w:tblStyleRowBandSize w:val="1"/>
      <w:tblStyleColBandSize w:val="1"/>
      <w:tblCellMar>
        <w:top w:w="100" w:type="dxa"/>
        <w:left w:w="100" w:type="dxa"/>
        <w:bottom w:w="100" w:type="dxa"/>
        <w:right w:w="100" w:type="dxa"/>
      </w:tblCellMar>
    </w:tblPr>
  </w:style>
  <w:style w:type="table" w:customStyle="1" w:styleId="251">
    <w:name w:val="251"/>
    <w:basedOn w:val="TableNormal"/>
    <w:rsid w:val="0040586B"/>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634">
      <w:bodyDiv w:val="1"/>
      <w:marLeft w:val="0"/>
      <w:marRight w:val="0"/>
      <w:marTop w:val="0"/>
      <w:marBottom w:val="0"/>
      <w:divBdr>
        <w:top w:val="none" w:sz="0" w:space="0" w:color="auto"/>
        <w:left w:val="none" w:sz="0" w:space="0" w:color="auto"/>
        <w:bottom w:val="none" w:sz="0" w:space="0" w:color="auto"/>
        <w:right w:val="none" w:sz="0" w:space="0" w:color="auto"/>
      </w:divBdr>
    </w:div>
    <w:div w:id="282659804">
      <w:bodyDiv w:val="1"/>
      <w:marLeft w:val="0"/>
      <w:marRight w:val="0"/>
      <w:marTop w:val="0"/>
      <w:marBottom w:val="0"/>
      <w:divBdr>
        <w:top w:val="none" w:sz="0" w:space="0" w:color="auto"/>
        <w:left w:val="none" w:sz="0" w:space="0" w:color="auto"/>
        <w:bottom w:val="none" w:sz="0" w:space="0" w:color="auto"/>
        <w:right w:val="none" w:sz="0" w:space="0" w:color="auto"/>
      </w:divBdr>
    </w:div>
    <w:div w:id="339744809">
      <w:bodyDiv w:val="1"/>
      <w:marLeft w:val="0"/>
      <w:marRight w:val="0"/>
      <w:marTop w:val="0"/>
      <w:marBottom w:val="0"/>
      <w:divBdr>
        <w:top w:val="none" w:sz="0" w:space="0" w:color="auto"/>
        <w:left w:val="none" w:sz="0" w:space="0" w:color="auto"/>
        <w:bottom w:val="none" w:sz="0" w:space="0" w:color="auto"/>
        <w:right w:val="none" w:sz="0" w:space="0" w:color="auto"/>
      </w:divBdr>
    </w:div>
    <w:div w:id="647897861">
      <w:bodyDiv w:val="1"/>
      <w:marLeft w:val="0"/>
      <w:marRight w:val="0"/>
      <w:marTop w:val="0"/>
      <w:marBottom w:val="0"/>
      <w:divBdr>
        <w:top w:val="none" w:sz="0" w:space="0" w:color="auto"/>
        <w:left w:val="none" w:sz="0" w:space="0" w:color="auto"/>
        <w:bottom w:val="none" w:sz="0" w:space="0" w:color="auto"/>
        <w:right w:val="none" w:sz="0" w:space="0" w:color="auto"/>
      </w:divBdr>
      <w:divsChild>
        <w:div w:id="439882032">
          <w:marLeft w:val="240"/>
          <w:marRight w:val="240"/>
          <w:marTop w:val="0"/>
          <w:marBottom w:val="105"/>
          <w:divBdr>
            <w:top w:val="none" w:sz="0" w:space="0" w:color="auto"/>
            <w:left w:val="none" w:sz="0" w:space="0" w:color="auto"/>
            <w:bottom w:val="none" w:sz="0" w:space="0" w:color="auto"/>
            <w:right w:val="none" w:sz="0" w:space="0" w:color="auto"/>
          </w:divBdr>
          <w:divsChild>
            <w:div w:id="2117559597">
              <w:marLeft w:val="150"/>
              <w:marRight w:val="0"/>
              <w:marTop w:val="0"/>
              <w:marBottom w:val="0"/>
              <w:divBdr>
                <w:top w:val="none" w:sz="0" w:space="0" w:color="auto"/>
                <w:left w:val="none" w:sz="0" w:space="0" w:color="auto"/>
                <w:bottom w:val="none" w:sz="0" w:space="0" w:color="auto"/>
                <w:right w:val="none" w:sz="0" w:space="0" w:color="auto"/>
              </w:divBdr>
              <w:divsChild>
                <w:div w:id="1922177990">
                  <w:marLeft w:val="0"/>
                  <w:marRight w:val="0"/>
                  <w:marTop w:val="0"/>
                  <w:marBottom w:val="0"/>
                  <w:divBdr>
                    <w:top w:val="none" w:sz="0" w:space="0" w:color="auto"/>
                    <w:left w:val="none" w:sz="0" w:space="0" w:color="auto"/>
                    <w:bottom w:val="none" w:sz="0" w:space="0" w:color="auto"/>
                    <w:right w:val="none" w:sz="0" w:space="0" w:color="auto"/>
                  </w:divBdr>
                  <w:divsChild>
                    <w:div w:id="1412971160">
                      <w:marLeft w:val="0"/>
                      <w:marRight w:val="0"/>
                      <w:marTop w:val="0"/>
                      <w:marBottom w:val="0"/>
                      <w:divBdr>
                        <w:top w:val="none" w:sz="0" w:space="0" w:color="auto"/>
                        <w:left w:val="none" w:sz="0" w:space="0" w:color="auto"/>
                        <w:bottom w:val="none" w:sz="0" w:space="0" w:color="auto"/>
                        <w:right w:val="none" w:sz="0" w:space="0" w:color="auto"/>
                      </w:divBdr>
                      <w:divsChild>
                        <w:div w:id="1131364252">
                          <w:marLeft w:val="0"/>
                          <w:marRight w:val="0"/>
                          <w:marTop w:val="0"/>
                          <w:marBottom w:val="60"/>
                          <w:divBdr>
                            <w:top w:val="none" w:sz="0" w:space="0" w:color="auto"/>
                            <w:left w:val="none" w:sz="0" w:space="0" w:color="auto"/>
                            <w:bottom w:val="none" w:sz="0" w:space="0" w:color="auto"/>
                            <w:right w:val="none" w:sz="0" w:space="0" w:color="auto"/>
                          </w:divBdr>
                          <w:divsChild>
                            <w:div w:id="2107650419">
                              <w:marLeft w:val="0"/>
                              <w:marRight w:val="0"/>
                              <w:marTop w:val="0"/>
                              <w:marBottom w:val="0"/>
                              <w:divBdr>
                                <w:top w:val="none" w:sz="0" w:space="0" w:color="auto"/>
                                <w:left w:val="none" w:sz="0" w:space="0" w:color="auto"/>
                                <w:bottom w:val="none" w:sz="0" w:space="0" w:color="auto"/>
                                <w:right w:val="none" w:sz="0" w:space="0" w:color="auto"/>
                              </w:divBdr>
                            </w:div>
                            <w:div w:id="425804946">
                              <w:marLeft w:val="0"/>
                              <w:marRight w:val="0"/>
                              <w:marTop w:val="150"/>
                              <w:marBottom w:val="0"/>
                              <w:divBdr>
                                <w:top w:val="none" w:sz="0" w:space="0" w:color="auto"/>
                                <w:left w:val="none" w:sz="0" w:space="0" w:color="auto"/>
                                <w:bottom w:val="none" w:sz="0" w:space="0" w:color="auto"/>
                                <w:right w:val="none" w:sz="0" w:space="0" w:color="auto"/>
                              </w:divBdr>
                            </w:div>
                            <w:div w:id="1082720488">
                              <w:marLeft w:val="0"/>
                              <w:marRight w:val="0"/>
                              <w:marTop w:val="0"/>
                              <w:marBottom w:val="0"/>
                              <w:divBdr>
                                <w:top w:val="none" w:sz="0" w:space="0" w:color="auto"/>
                                <w:left w:val="none" w:sz="0" w:space="0" w:color="auto"/>
                                <w:bottom w:val="none" w:sz="0" w:space="0" w:color="auto"/>
                                <w:right w:val="none" w:sz="0" w:space="0" w:color="auto"/>
                              </w:divBdr>
                              <w:divsChild>
                                <w:div w:id="1946038607">
                                  <w:marLeft w:val="75"/>
                                  <w:marRight w:val="75"/>
                                  <w:marTop w:val="0"/>
                                  <w:marBottom w:val="0"/>
                                  <w:divBdr>
                                    <w:top w:val="none" w:sz="0" w:space="0" w:color="auto"/>
                                    <w:left w:val="none" w:sz="0" w:space="0" w:color="auto"/>
                                    <w:bottom w:val="none" w:sz="0" w:space="0" w:color="auto"/>
                                    <w:right w:val="none" w:sz="0" w:space="0" w:color="auto"/>
                                  </w:divBdr>
                                  <w:divsChild>
                                    <w:div w:id="2000159687">
                                      <w:marLeft w:val="0"/>
                                      <w:marRight w:val="0"/>
                                      <w:marTop w:val="100"/>
                                      <w:marBottom w:val="100"/>
                                      <w:divBdr>
                                        <w:top w:val="none" w:sz="0" w:space="0" w:color="auto"/>
                                        <w:left w:val="none" w:sz="0" w:space="0" w:color="auto"/>
                                        <w:bottom w:val="none" w:sz="0" w:space="0" w:color="auto"/>
                                        <w:right w:val="none" w:sz="0" w:space="0" w:color="auto"/>
                                      </w:divBdr>
                                      <w:divsChild>
                                        <w:div w:id="576939288">
                                          <w:marLeft w:val="30"/>
                                          <w:marRight w:val="30"/>
                                          <w:marTop w:val="0"/>
                                          <w:marBottom w:val="0"/>
                                          <w:divBdr>
                                            <w:top w:val="none" w:sz="0" w:space="0" w:color="auto"/>
                                            <w:left w:val="none" w:sz="0" w:space="0" w:color="auto"/>
                                            <w:bottom w:val="none" w:sz="0" w:space="0" w:color="auto"/>
                                            <w:right w:val="none" w:sz="0" w:space="0" w:color="auto"/>
                                          </w:divBdr>
                                        </w:div>
                                      </w:divsChild>
                                    </w:div>
                                    <w:div w:id="1856965245">
                                      <w:marLeft w:val="45"/>
                                      <w:marRight w:val="0"/>
                                      <w:marTop w:val="15"/>
                                      <w:marBottom w:val="30"/>
                                      <w:divBdr>
                                        <w:top w:val="none" w:sz="0" w:space="0" w:color="auto"/>
                                        <w:left w:val="none" w:sz="0" w:space="0" w:color="auto"/>
                                        <w:bottom w:val="none" w:sz="0" w:space="0" w:color="auto"/>
                                        <w:right w:val="none" w:sz="0" w:space="0" w:color="auto"/>
                                      </w:divBdr>
                                    </w:div>
                                  </w:divsChild>
                                </w:div>
                                <w:div w:id="12572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19245">
          <w:marLeft w:val="0"/>
          <w:marRight w:val="0"/>
          <w:marTop w:val="0"/>
          <w:marBottom w:val="150"/>
          <w:divBdr>
            <w:top w:val="none" w:sz="0" w:space="0" w:color="auto"/>
            <w:left w:val="none" w:sz="0" w:space="0" w:color="auto"/>
            <w:bottom w:val="none" w:sz="0" w:space="0" w:color="auto"/>
            <w:right w:val="none" w:sz="0" w:space="0" w:color="auto"/>
          </w:divBdr>
        </w:div>
      </w:divsChild>
    </w:div>
    <w:div w:id="814180424">
      <w:bodyDiv w:val="1"/>
      <w:marLeft w:val="0"/>
      <w:marRight w:val="0"/>
      <w:marTop w:val="0"/>
      <w:marBottom w:val="0"/>
      <w:divBdr>
        <w:top w:val="none" w:sz="0" w:space="0" w:color="auto"/>
        <w:left w:val="none" w:sz="0" w:space="0" w:color="auto"/>
        <w:bottom w:val="none" w:sz="0" w:space="0" w:color="auto"/>
        <w:right w:val="none" w:sz="0" w:space="0" w:color="auto"/>
      </w:divBdr>
    </w:div>
    <w:div w:id="1122000814">
      <w:bodyDiv w:val="1"/>
      <w:marLeft w:val="0"/>
      <w:marRight w:val="0"/>
      <w:marTop w:val="0"/>
      <w:marBottom w:val="0"/>
      <w:divBdr>
        <w:top w:val="none" w:sz="0" w:space="0" w:color="auto"/>
        <w:left w:val="none" w:sz="0" w:space="0" w:color="auto"/>
        <w:bottom w:val="none" w:sz="0" w:space="0" w:color="auto"/>
        <w:right w:val="none" w:sz="0" w:space="0" w:color="auto"/>
      </w:divBdr>
    </w:div>
    <w:div w:id="1195726884">
      <w:bodyDiv w:val="1"/>
      <w:marLeft w:val="0"/>
      <w:marRight w:val="0"/>
      <w:marTop w:val="0"/>
      <w:marBottom w:val="0"/>
      <w:divBdr>
        <w:top w:val="none" w:sz="0" w:space="0" w:color="auto"/>
        <w:left w:val="none" w:sz="0" w:space="0" w:color="auto"/>
        <w:bottom w:val="none" w:sz="0" w:space="0" w:color="auto"/>
        <w:right w:val="none" w:sz="0" w:space="0" w:color="auto"/>
      </w:divBdr>
    </w:div>
    <w:div w:id="1513035257">
      <w:bodyDiv w:val="1"/>
      <w:marLeft w:val="0"/>
      <w:marRight w:val="0"/>
      <w:marTop w:val="0"/>
      <w:marBottom w:val="0"/>
      <w:divBdr>
        <w:top w:val="none" w:sz="0" w:space="0" w:color="auto"/>
        <w:left w:val="none" w:sz="0" w:space="0" w:color="auto"/>
        <w:bottom w:val="none" w:sz="0" w:space="0" w:color="auto"/>
        <w:right w:val="none" w:sz="0" w:space="0" w:color="auto"/>
      </w:divBdr>
      <w:divsChild>
        <w:div w:id="391779684">
          <w:marLeft w:val="0"/>
          <w:marRight w:val="0"/>
          <w:marTop w:val="0"/>
          <w:marBottom w:val="0"/>
          <w:divBdr>
            <w:top w:val="none" w:sz="0" w:space="0" w:color="auto"/>
            <w:left w:val="none" w:sz="0" w:space="0" w:color="auto"/>
            <w:bottom w:val="none" w:sz="0" w:space="0" w:color="auto"/>
            <w:right w:val="none" w:sz="0" w:space="0" w:color="auto"/>
          </w:divBdr>
          <w:divsChild>
            <w:div w:id="1026059866">
              <w:marLeft w:val="0"/>
              <w:marRight w:val="0"/>
              <w:marTop w:val="0"/>
              <w:marBottom w:val="0"/>
              <w:divBdr>
                <w:top w:val="none" w:sz="0" w:space="0" w:color="auto"/>
                <w:left w:val="none" w:sz="0" w:space="0" w:color="auto"/>
                <w:bottom w:val="none" w:sz="0" w:space="0" w:color="auto"/>
                <w:right w:val="none" w:sz="0" w:space="0" w:color="auto"/>
              </w:divBdr>
              <w:divsChild>
                <w:div w:id="1007057877">
                  <w:marLeft w:val="0"/>
                  <w:marRight w:val="-105"/>
                  <w:marTop w:val="0"/>
                  <w:marBottom w:val="0"/>
                  <w:divBdr>
                    <w:top w:val="none" w:sz="0" w:space="0" w:color="auto"/>
                    <w:left w:val="none" w:sz="0" w:space="0" w:color="auto"/>
                    <w:bottom w:val="none" w:sz="0" w:space="0" w:color="auto"/>
                    <w:right w:val="none" w:sz="0" w:space="0" w:color="auto"/>
                  </w:divBdr>
                  <w:divsChild>
                    <w:div w:id="1768963675">
                      <w:marLeft w:val="0"/>
                      <w:marRight w:val="0"/>
                      <w:marTop w:val="0"/>
                      <w:marBottom w:val="420"/>
                      <w:divBdr>
                        <w:top w:val="none" w:sz="0" w:space="0" w:color="auto"/>
                        <w:left w:val="none" w:sz="0" w:space="0" w:color="auto"/>
                        <w:bottom w:val="none" w:sz="0" w:space="0" w:color="auto"/>
                        <w:right w:val="none" w:sz="0" w:space="0" w:color="auto"/>
                      </w:divBdr>
                      <w:divsChild>
                        <w:div w:id="1061245450">
                          <w:marLeft w:val="240"/>
                          <w:marRight w:val="240"/>
                          <w:marTop w:val="0"/>
                          <w:marBottom w:val="165"/>
                          <w:divBdr>
                            <w:top w:val="none" w:sz="0" w:space="0" w:color="auto"/>
                            <w:left w:val="none" w:sz="0" w:space="0" w:color="auto"/>
                            <w:bottom w:val="none" w:sz="0" w:space="0" w:color="auto"/>
                            <w:right w:val="none" w:sz="0" w:space="0" w:color="auto"/>
                          </w:divBdr>
                          <w:divsChild>
                            <w:div w:id="920139948">
                              <w:marLeft w:val="150"/>
                              <w:marRight w:val="0"/>
                              <w:marTop w:val="0"/>
                              <w:marBottom w:val="0"/>
                              <w:divBdr>
                                <w:top w:val="none" w:sz="0" w:space="0" w:color="auto"/>
                                <w:left w:val="none" w:sz="0" w:space="0" w:color="auto"/>
                                <w:bottom w:val="none" w:sz="0" w:space="0" w:color="auto"/>
                                <w:right w:val="none" w:sz="0" w:space="0" w:color="auto"/>
                              </w:divBdr>
                              <w:divsChild>
                                <w:div w:id="1401100014">
                                  <w:marLeft w:val="0"/>
                                  <w:marRight w:val="0"/>
                                  <w:marTop w:val="0"/>
                                  <w:marBottom w:val="0"/>
                                  <w:divBdr>
                                    <w:top w:val="none" w:sz="0" w:space="0" w:color="auto"/>
                                    <w:left w:val="none" w:sz="0" w:space="0" w:color="auto"/>
                                    <w:bottom w:val="none" w:sz="0" w:space="0" w:color="auto"/>
                                    <w:right w:val="none" w:sz="0" w:space="0" w:color="auto"/>
                                  </w:divBdr>
                                  <w:divsChild>
                                    <w:div w:id="991327496">
                                      <w:marLeft w:val="0"/>
                                      <w:marRight w:val="0"/>
                                      <w:marTop w:val="0"/>
                                      <w:marBottom w:val="0"/>
                                      <w:divBdr>
                                        <w:top w:val="none" w:sz="0" w:space="0" w:color="auto"/>
                                        <w:left w:val="none" w:sz="0" w:space="0" w:color="auto"/>
                                        <w:bottom w:val="none" w:sz="0" w:space="0" w:color="auto"/>
                                        <w:right w:val="none" w:sz="0" w:space="0" w:color="auto"/>
                                      </w:divBdr>
                                      <w:divsChild>
                                        <w:div w:id="855726471">
                                          <w:marLeft w:val="0"/>
                                          <w:marRight w:val="0"/>
                                          <w:marTop w:val="0"/>
                                          <w:marBottom w:val="60"/>
                                          <w:divBdr>
                                            <w:top w:val="none" w:sz="0" w:space="0" w:color="auto"/>
                                            <w:left w:val="none" w:sz="0" w:space="0" w:color="auto"/>
                                            <w:bottom w:val="none" w:sz="0" w:space="0" w:color="auto"/>
                                            <w:right w:val="none" w:sz="0" w:space="0" w:color="auto"/>
                                          </w:divBdr>
                                          <w:divsChild>
                                            <w:div w:id="1174031206">
                                              <w:marLeft w:val="0"/>
                                              <w:marRight w:val="0"/>
                                              <w:marTop w:val="0"/>
                                              <w:marBottom w:val="0"/>
                                              <w:divBdr>
                                                <w:top w:val="none" w:sz="0" w:space="0" w:color="auto"/>
                                                <w:left w:val="none" w:sz="0" w:space="0" w:color="auto"/>
                                                <w:bottom w:val="none" w:sz="0" w:space="0" w:color="auto"/>
                                                <w:right w:val="none" w:sz="0" w:space="0" w:color="auto"/>
                                              </w:divBdr>
                                              <w:divsChild>
                                                <w:div w:id="674042366">
                                                  <w:marLeft w:val="0"/>
                                                  <w:marRight w:val="0"/>
                                                  <w:marTop w:val="0"/>
                                                  <w:marBottom w:val="0"/>
                                                  <w:divBdr>
                                                    <w:top w:val="none" w:sz="0" w:space="0" w:color="auto"/>
                                                    <w:left w:val="none" w:sz="0" w:space="0" w:color="auto"/>
                                                    <w:bottom w:val="none" w:sz="0" w:space="0" w:color="auto"/>
                                                    <w:right w:val="none" w:sz="0" w:space="0" w:color="auto"/>
                                                  </w:divBdr>
                                                </w:div>
                                                <w:div w:id="1515806464">
                                                  <w:marLeft w:val="75"/>
                                                  <w:marRight w:val="75"/>
                                                  <w:marTop w:val="0"/>
                                                  <w:marBottom w:val="0"/>
                                                  <w:divBdr>
                                                    <w:top w:val="none" w:sz="0" w:space="0" w:color="auto"/>
                                                    <w:left w:val="none" w:sz="0" w:space="0" w:color="auto"/>
                                                    <w:bottom w:val="none" w:sz="0" w:space="0" w:color="auto"/>
                                                    <w:right w:val="none" w:sz="0" w:space="0" w:color="auto"/>
                                                  </w:divBdr>
                                                  <w:divsChild>
                                                    <w:div w:id="880435342">
                                                      <w:marLeft w:val="45"/>
                                                      <w:marRight w:val="0"/>
                                                      <w:marTop w:val="15"/>
                                                      <w:marBottom w:val="30"/>
                                                      <w:divBdr>
                                                        <w:top w:val="none" w:sz="0" w:space="0" w:color="auto"/>
                                                        <w:left w:val="none" w:sz="0" w:space="0" w:color="auto"/>
                                                        <w:bottom w:val="none" w:sz="0" w:space="0" w:color="auto"/>
                                                        <w:right w:val="none" w:sz="0" w:space="0" w:color="auto"/>
                                                      </w:divBdr>
                                                    </w:div>
                                                    <w:div w:id="1038121804">
                                                      <w:marLeft w:val="0"/>
                                                      <w:marRight w:val="0"/>
                                                      <w:marTop w:val="100"/>
                                                      <w:marBottom w:val="100"/>
                                                      <w:divBdr>
                                                        <w:top w:val="none" w:sz="0" w:space="0" w:color="auto"/>
                                                        <w:left w:val="none" w:sz="0" w:space="0" w:color="auto"/>
                                                        <w:bottom w:val="none" w:sz="0" w:space="0" w:color="auto"/>
                                                        <w:right w:val="none" w:sz="0" w:space="0" w:color="auto"/>
                                                      </w:divBdr>
                                                      <w:divsChild>
                                                        <w:div w:id="14655409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54507654">
                                              <w:marLeft w:val="0"/>
                                              <w:marRight w:val="0"/>
                                              <w:marTop w:val="0"/>
                                              <w:marBottom w:val="0"/>
                                              <w:divBdr>
                                                <w:top w:val="none" w:sz="0" w:space="0" w:color="auto"/>
                                                <w:left w:val="none" w:sz="0" w:space="0" w:color="auto"/>
                                                <w:bottom w:val="none" w:sz="0" w:space="0" w:color="auto"/>
                                                <w:right w:val="none" w:sz="0" w:space="0" w:color="auto"/>
                                              </w:divBdr>
                                            </w:div>
                                            <w:div w:id="1892500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63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40C68-635C-4C37-A4BD-FDF6D730F28C}">
  <ds:schemaRefs>
    <ds:schemaRef ds:uri="http://schemas.openxmlformats.org/officeDocument/2006/bibliography"/>
  </ds:schemaRefs>
</ds:datastoreItem>
</file>

<file path=customXml/itemProps2.xml><?xml version="1.0" encoding="utf-8"?>
<ds:datastoreItem xmlns:ds="http://schemas.openxmlformats.org/officeDocument/2006/customXml" ds:itemID="{32E377A9-659F-4159-A7D3-D29B872252CB}"/>
</file>

<file path=customXml/itemProps3.xml><?xml version="1.0" encoding="utf-8"?>
<ds:datastoreItem xmlns:ds="http://schemas.openxmlformats.org/officeDocument/2006/customXml" ds:itemID="{97DE6E08-DA2B-4BB2-B73E-D1B0332FD4C9}"/>
</file>

<file path=customXml/itemProps4.xml><?xml version="1.0" encoding="utf-8"?>
<ds:datastoreItem xmlns:ds="http://schemas.openxmlformats.org/officeDocument/2006/customXml" ds:itemID="{A75C3DDF-4CC1-48C5-B54C-63F07330D9A9}"/>
</file>

<file path=docProps/app.xml><?xml version="1.0" encoding="utf-8"?>
<Properties xmlns="http://schemas.openxmlformats.org/officeDocument/2006/extended-properties" xmlns:vt="http://schemas.openxmlformats.org/officeDocument/2006/docPropsVTypes">
  <Template>Normal</Template>
  <TotalTime>1</TotalTime>
  <Pages>74</Pages>
  <Words>19447</Words>
  <Characters>110854</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Thị Bích Hồng</dc:creator>
  <cp:keywords/>
  <dc:description/>
  <cp:lastModifiedBy>Acer</cp:lastModifiedBy>
  <cp:revision>2</cp:revision>
  <cp:lastPrinted>2023-10-23T01:33:00Z</cp:lastPrinted>
  <dcterms:created xsi:type="dcterms:W3CDTF">2023-11-28T02:52:00Z</dcterms:created>
  <dcterms:modified xsi:type="dcterms:W3CDTF">2023-11-28T02:52:00Z</dcterms:modified>
</cp:coreProperties>
</file>